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EB30" w14:textId="72ECF96A" w:rsidR="00B61E2D" w:rsidRPr="00B61E2D" w:rsidRDefault="00B61E2D" w:rsidP="00B61E2D">
      <w:pPr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  <w:r w:rsidRPr="00B61E2D">
        <w:rPr>
          <w:rFonts w:ascii="Times New Roman" w:hAnsi="Times New Roman" w:cs="Times New Roman"/>
          <w:sz w:val="24"/>
          <w:szCs w:val="24"/>
        </w:rPr>
        <w:t>IV.</w:t>
      </w:r>
    </w:p>
    <w:p w14:paraId="700AB40F" w14:textId="77777777" w:rsidR="00B61E2D" w:rsidRDefault="00B61E2D" w:rsidP="001C39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4B8468" w14:textId="7BD6871F" w:rsidR="00DC155D" w:rsidRPr="00DD3EDD" w:rsidRDefault="00440AF6" w:rsidP="001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Odůvodnění</w:t>
      </w:r>
    </w:p>
    <w:p w14:paraId="73D4C62D" w14:textId="77777777" w:rsidR="001C39AB" w:rsidRPr="00DD3EDD" w:rsidRDefault="001C39AB" w:rsidP="001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79D46F" w14:textId="77777777" w:rsidR="00FB22B6" w:rsidRDefault="00FB22B6" w:rsidP="00ED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8F0D4" w14:textId="77777777" w:rsidR="00952F4B" w:rsidRPr="008E241A" w:rsidRDefault="00952F4B" w:rsidP="00952F4B">
      <w:pPr>
        <w:widowControl w:val="0"/>
        <w:suppressAutoHyphens/>
        <w:spacing w:after="0" w:line="30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E241A">
        <w:rPr>
          <w:rFonts w:ascii="Times New Roman" w:eastAsia="Arial" w:hAnsi="Times New Roman" w:cs="Times New Roman"/>
          <w:b/>
          <w:sz w:val="24"/>
          <w:szCs w:val="24"/>
        </w:rPr>
        <w:t>Název:</w:t>
      </w:r>
    </w:p>
    <w:p w14:paraId="035FD3D3" w14:textId="2E339B65" w:rsidR="00FB22B6" w:rsidRDefault="00FB22B6" w:rsidP="00ED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76">
        <w:rPr>
          <w:rFonts w:ascii="Times New Roman" w:hAnsi="Times New Roman" w:cs="Times New Roman"/>
          <w:sz w:val="24"/>
          <w:szCs w:val="24"/>
        </w:rPr>
        <w:t>Nařízení vlády č. 361/2007 Sb., kterým se stanoví podmínky ochrany zdraví při práci</w:t>
      </w:r>
      <w:r w:rsidR="00610E38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0481B274" w14:textId="77777777" w:rsidR="00952F4B" w:rsidRDefault="00952F4B" w:rsidP="00ED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AA393" w14:textId="77777777" w:rsidR="00952F4B" w:rsidRPr="008E241A" w:rsidRDefault="00952F4B" w:rsidP="00952F4B">
      <w:pPr>
        <w:widowControl w:val="0"/>
        <w:suppressAutoHyphens/>
        <w:spacing w:after="0" w:line="30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E241A">
        <w:rPr>
          <w:rFonts w:ascii="Times New Roman" w:eastAsia="Arial" w:hAnsi="Times New Roman" w:cs="Times New Roman"/>
          <w:b/>
          <w:sz w:val="24"/>
          <w:szCs w:val="24"/>
        </w:rPr>
        <w:t>A. Obecná část</w:t>
      </w:r>
    </w:p>
    <w:p w14:paraId="22E1C1D6" w14:textId="35BD5688" w:rsidR="001C39AB" w:rsidRPr="00ED4088" w:rsidRDefault="00ED4088" w:rsidP="00ED4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088">
        <w:rPr>
          <w:rFonts w:ascii="Times New Roman" w:hAnsi="Times New Roman" w:cs="Times New Roman"/>
          <w:sz w:val="24"/>
          <w:szCs w:val="24"/>
        </w:rPr>
        <w:t>Nařízení vlády č. 361/2007 Sb., kterým se stanoví podmínky ochrany zdraví při práci</w:t>
      </w:r>
      <w:r w:rsidR="00DD3EDD" w:rsidRPr="00405E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 znění pozdějších předpisů (dále jen „nařízení vlády č. 361/2007 Sb.“)</w:t>
      </w:r>
      <w:r w:rsidR="007A0BD8" w:rsidRPr="00405EC1">
        <w:rPr>
          <w:rFonts w:ascii="Times New Roman" w:hAnsi="Times New Roman" w:cs="Times New Roman"/>
          <w:sz w:val="24"/>
          <w:szCs w:val="24"/>
        </w:rPr>
        <w:t xml:space="preserve"> </w:t>
      </w:r>
      <w:r w:rsidR="005C133C">
        <w:rPr>
          <w:rFonts w:ascii="Times New Roman" w:hAnsi="Times New Roman" w:cs="Times New Roman"/>
          <w:sz w:val="24"/>
          <w:szCs w:val="24"/>
        </w:rPr>
        <w:t xml:space="preserve">  provádí </w:t>
      </w:r>
      <w:r w:rsidRPr="00ED4088">
        <w:rPr>
          <w:rFonts w:ascii="Times New Roman" w:hAnsi="Times New Roman" w:cs="Times New Roman"/>
          <w:sz w:val="24"/>
          <w:szCs w:val="24"/>
        </w:rPr>
        <w:t>§ 21 písm. a) zákona č. 309/2006 Sb., kterým se upravují další požadavky bezpečnosti a ochrany zdraví při práci v</w:t>
      </w:r>
      <w:r w:rsidR="00B61E2D">
        <w:rPr>
          <w:rFonts w:ascii="Times New Roman" w:hAnsi="Times New Roman" w:cs="Times New Roman"/>
          <w:sz w:val="24"/>
          <w:szCs w:val="24"/>
        </w:rPr>
        <w:t> </w:t>
      </w:r>
      <w:r w:rsidRPr="00ED4088">
        <w:rPr>
          <w:rFonts w:ascii="Times New Roman" w:hAnsi="Times New Roman" w:cs="Times New Roman"/>
          <w:sz w:val="24"/>
          <w:szCs w:val="24"/>
        </w:rPr>
        <w:t>pracovněprávních vztazích a o zajištění bezpečnosti a ochrany zdraví při činnosti nebo poskytování služeb mimo pracovněprávní vztahy (zákon o zajištění dalších podmínek bezpečnosti a ochrany zdraví při práci)</w:t>
      </w:r>
      <w:r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C97FD7">
        <w:rPr>
          <w:rFonts w:ascii="Times New Roman" w:hAnsi="Times New Roman" w:cs="Times New Roman"/>
          <w:sz w:val="24"/>
          <w:szCs w:val="24"/>
        </w:rPr>
        <w:t xml:space="preserve"> (dále jen „zákon č.</w:t>
      </w:r>
      <w:r w:rsidR="00B61E2D">
        <w:rPr>
          <w:rFonts w:ascii="Times New Roman" w:hAnsi="Times New Roman" w:cs="Times New Roman"/>
          <w:sz w:val="24"/>
          <w:szCs w:val="24"/>
        </w:rPr>
        <w:t> </w:t>
      </w:r>
      <w:r w:rsidR="00C97FD7">
        <w:rPr>
          <w:rFonts w:ascii="Times New Roman" w:hAnsi="Times New Roman" w:cs="Times New Roman"/>
          <w:sz w:val="24"/>
          <w:szCs w:val="24"/>
        </w:rPr>
        <w:t>309/2006 Sb.“)</w:t>
      </w:r>
      <w:r w:rsidRPr="00ED4088">
        <w:rPr>
          <w:rFonts w:ascii="Times New Roman" w:hAnsi="Times New Roman" w:cs="Times New Roman"/>
          <w:sz w:val="24"/>
          <w:szCs w:val="24"/>
        </w:rPr>
        <w:t xml:space="preserve">, a </w:t>
      </w:r>
      <w:r w:rsidR="00A74678">
        <w:rPr>
          <w:rFonts w:ascii="Times New Roman" w:hAnsi="Times New Roman" w:cs="Times New Roman"/>
          <w:sz w:val="24"/>
          <w:szCs w:val="24"/>
        </w:rPr>
        <w:t xml:space="preserve"> dále provádí </w:t>
      </w:r>
      <w:r w:rsidRPr="00ED4088">
        <w:rPr>
          <w:rFonts w:ascii="Times New Roman" w:hAnsi="Times New Roman" w:cs="Times New Roman"/>
          <w:sz w:val="24"/>
          <w:szCs w:val="24"/>
        </w:rPr>
        <w:t>zákon č.</w:t>
      </w:r>
      <w:r w:rsidR="00E900C5">
        <w:rPr>
          <w:rFonts w:ascii="Times New Roman" w:hAnsi="Times New Roman" w:cs="Times New Roman"/>
          <w:sz w:val="24"/>
          <w:szCs w:val="24"/>
        </w:rPr>
        <w:t> </w:t>
      </w:r>
      <w:r w:rsidRPr="00ED4088">
        <w:rPr>
          <w:rFonts w:ascii="Times New Roman" w:hAnsi="Times New Roman" w:cs="Times New Roman"/>
          <w:sz w:val="24"/>
          <w:szCs w:val="24"/>
        </w:rPr>
        <w:t>262/2006 Sb., zákoník práce, ve znění pozdějších předpisů</w:t>
      </w:r>
      <w:r w:rsidR="00C97FD7">
        <w:rPr>
          <w:rFonts w:ascii="Times New Roman" w:hAnsi="Times New Roman" w:cs="Times New Roman"/>
          <w:sz w:val="24"/>
          <w:szCs w:val="24"/>
        </w:rPr>
        <w:t xml:space="preserve"> (dále jen „zákon č. 262/2006 Sb.“)</w:t>
      </w:r>
      <w:r w:rsidR="007A0BD8" w:rsidRPr="00405EC1">
        <w:rPr>
          <w:rFonts w:ascii="Times New Roman" w:hAnsi="Times New Roman" w:cs="Times New Roman"/>
          <w:sz w:val="24"/>
          <w:szCs w:val="24"/>
        </w:rPr>
        <w:t xml:space="preserve">. Dané předpisy </w:t>
      </w:r>
      <w:proofErr w:type="gramStart"/>
      <w:r w:rsidR="007A0BD8" w:rsidRPr="00405EC1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1011D2">
        <w:rPr>
          <w:rFonts w:ascii="Times New Roman" w:hAnsi="Times New Roman" w:cs="Times New Roman"/>
          <w:sz w:val="24"/>
          <w:szCs w:val="24"/>
        </w:rPr>
        <w:t xml:space="preserve"> právní</w:t>
      </w:r>
      <w:r w:rsidR="007A0BD8" w:rsidRPr="00405EC1">
        <w:rPr>
          <w:rFonts w:ascii="Times New Roman" w:hAnsi="Times New Roman" w:cs="Times New Roman"/>
          <w:sz w:val="24"/>
          <w:szCs w:val="24"/>
        </w:rPr>
        <w:t xml:space="preserve"> základ pro </w:t>
      </w:r>
      <w:r>
        <w:rPr>
          <w:rFonts w:ascii="Times New Roman" w:hAnsi="Times New Roman" w:cs="Times New Roman"/>
          <w:sz w:val="24"/>
          <w:szCs w:val="24"/>
        </w:rPr>
        <w:t>stanovení podmínek ochrany zdraví při práci</w:t>
      </w:r>
      <w:r w:rsidR="00405EC1" w:rsidRPr="00405E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Předmětné</w:t>
      </w:r>
      <w:r w:rsidRPr="00ED4088">
        <w:rPr>
          <w:rFonts w:ascii="Times New Roman" w:hAnsi="Times New Roman" w:cs="Times New Roman"/>
          <w:sz w:val="24"/>
          <w:szCs w:val="24"/>
        </w:rPr>
        <w:t xml:space="preserve"> nařízení zapracovává</w:t>
      </w:r>
      <w:r>
        <w:rPr>
          <w:rFonts w:ascii="Times New Roman" w:hAnsi="Times New Roman" w:cs="Times New Roman"/>
          <w:sz w:val="24"/>
          <w:szCs w:val="24"/>
        </w:rPr>
        <w:t xml:space="preserve"> zároveň</w:t>
      </w:r>
      <w:r w:rsidRPr="00ED4088">
        <w:rPr>
          <w:rFonts w:ascii="Times New Roman" w:hAnsi="Times New Roman" w:cs="Times New Roman"/>
          <w:sz w:val="24"/>
          <w:szCs w:val="24"/>
        </w:rPr>
        <w:t xml:space="preserve"> příslušné předpisy Evropské unie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0BD8" w:rsidRPr="00405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BC855" w14:textId="1015D9E4" w:rsidR="00E43162" w:rsidRPr="00F855FE" w:rsidRDefault="00E43162" w:rsidP="001C39A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65887E" w14:textId="365BD138" w:rsidR="00C07EFB" w:rsidRPr="00B61E2D" w:rsidRDefault="007C7786" w:rsidP="0029450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7EB">
        <w:rPr>
          <w:rFonts w:ascii="Times New Roman" w:eastAsia="Arial" w:hAnsi="Times New Roman" w:cs="Times New Roman"/>
          <w:b/>
          <w:sz w:val="24"/>
          <w:szCs w:val="24"/>
        </w:rPr>
        <w:t>Vysvětlení nezbytnosti navrhované právní úpravy, odůvodnění jejích hlavních principů</w:t>
      </w:r>
    </w:p>
    <w:p w14:paraId="0B7ABC0A" w14:textId="77777777" w:rsidR="00952E92" w:rsidRPr="00B61E2D" w:rsidRDefault="00952E92" w:rsidP="00B61E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D299" w14:textId="0D7549D8" w:rsidR="00F648AF" w:rsidRDefault="00ED4088" w:rsidP="00F648AF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Nařízení vlády č. 361/2007 Sb.</w:t>
      </w:r>
      <w:r w:rsidR="000D3EFA" w:rsidRPr="00F855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855FE">
        <w:rPr>
          <w:rFonts w:ascii="Times New Roman" w:eastAsia="Arial" w:hAnsi="Times New Roman" w:cs="Times New Roman"/>
          <w:sz w:val="24"/>
          <w:szCs w:val="24"/>
        </w:rPr>
        <w:t>definuje</w:t>
      </w:r>
      <w:r w:rsidR="00F648AF">
        <w:rPr>
          <w:rFonts w:ascii="Times New Roman" w:eastAsia="Arial" w:hAnsi="Times New Roman" w:cs="Times New Roman"/>
          <w:sz w:val="24"/>
          <w:szCs w:val="24"/>
        </w:rPr>
        <w:t xml:space="preserve"> rizikové faktory pracovních podmínek, jejich členění, zjišťování, hodnocení zdravotního rizika, podmínky ochrany zdraví při práci, včetně stanovení m</w:t>
      </w:r>
      <w:r w:rsidR="00F648AF" w:rsidRPr="00F648AF">
        <w:rPr>
          <w:rFonts w:ascii="Times New Roman" w:eastAsia="Arial" w:hAnsi="Times New Roman" w:cs="Times New Roman"/>
          <w:sz w:val="24"/>
          <w:szCs w:val="24"/>
        </w:rPr>
        <w:t>inimální</w:t>
      </w:r>
      <w:r w:rsidR="00F648AF">
        <w:rPr>
          <w:rFonts w:ascii="Times New Roman" w:eastAsia="Arial" w:hAnsi="Times New Roman" w:cs="Times New Roman"/>
          <w:sz w:val="24"/>
          <w:szCs w:val="24"/>
        </w:rPr>
        <w:t>ch</w:t>
      </w:r>
      <w:r w:rsidR="00F648AF" w:rsidRPr="00F648AF">
        <w:rPr>
          <w:rFonts w:ascii="Times New Roman" w:eastAsia="Arial" w:hAnsi="Times New Roman" w:cs="Times New Roman"/>
          <w:sz w:val="24"/>
          <w:szCs w:val="24"/>
        </w:rPr>
        <w:t xml:space="preserve"> opatření k ochraně zdraví a bližší</w:t>
      </w:r>
      <w:r w:rsidR="00F648AF">
        <w:rPr>
          <w:rFonts w:ascii="Times New Roman" w:eastAsia="Arial" w:hAnsi="Times New Roman" w:cs="Times New Roman"/>
          <w:sz w:val="24"/>
          <w:szCs w:val="24"/>
        </w:rPr>
        <w:t>ch</w:t>
      </w:r>
      <w:r w:rsidR="00F648AF" w:rsidRPr="00F648AF">
        <w:rPr>
          <w:rFonts w:ascii="Times New Roman" w:eastAsia="Arial" w:hAnsi="Times New Roman" w:cs="Times New Roman"/>
          <w:sz w:val="24"/>
          <w:szCs w:val="24"/>
        </w:rPr>
        <w:t xml:space="preserve"> požadavk</w:t>
      </w:r>
      <w:r w:rsidR="00F648AF">
        <w:rPr>
          <w:rFonts w:ascii="Times New Roman" w:eastAsia="Arial" w:hAnsi="Times New Roman" w:cs="Times New Roman"/>
          <w:sz w:val="24"/>
          <w:szCs w:val="24"/>
        </w:rPr>
        <w:t>ů</w:t>
      </w:r>
      <w:r w:rsidR="00F648AF" w:rsidRPr="00F648AF">
        <w:rPr>
          <w:rFonts w:ascii="Times New Roman" w:eastAsia="Arial" w:hAnsi="Times New Roman" w:cs="Times New Roman"/>
          <w:sz w:val="24"/>
          <w:szCs w:val="24"/>
        </w:rPr>
        <w:t xml:space="preserve"> na způsob organizace práce</w:t>
      </w:r>
      <w:r w:rsidR="00F648AF">
        <w:rPr>
          <w:rFonts w:ascii="Times New Roman" w:eastAsia="Arial" w:hAnsi="Times New Roman" w:cs="Times New Roman"/>
          <w:sz w:val="24"/>
          <w:szCs w:val="24"/>
        </w:rPr>
        <w:t>. Dále stanovuje bližší hygienické požadavky na pracoviště a pracovní prostředí, jako je například osvětlení pracovišť, větrání pracovišť, z</w:t>
      </w:r>
      <w:r w:rsidR="00F648AF" w:rsidRPr="00F648AF">
        <w:rPr>
          <w:rFonts w:ascii="Times New Roman" w:eastAsia="Arial" w:hAnsi="Times New Roman" w:cs="Times New Roman"/>
          <w:sz w:val="24"/>
          <w:szCs w:val="24"/>
        </w:rPr>
        <w:t>ásobování pitnou vodou a vodou pro zajištění osobní hygieny zaměstnanců</w:t>
      </w:r>
      <w:r w:rsidR="00F648AF">
        <w:rPr>
          <w:rFonts w:ascii="Times New Roman" w:eastAsia="Arial" w:hAnsi="Times New Roman" w:cs="Times New Roman"/>
          <w:sz w:val="24"/>
          <w:szCs w:val="24"/>
        </w:rPr>
        <w:t xml:space="preserve">, požadavky na rozměry, provedení a vybavení sanitárních a pomocných zařízení a jiné. </w:t>
      </w:r>
    </w:p>
    <w:p w14:paraId="7495265C" w14:textId="46F8CE9C" w:rsidR="00AA61A9" w:rsidRPr="00347FF5" w:rsidRDefault="00AA61A9" w:rsidP="001C39AB">
      <w:pPr>
        <w:pStyle w:val="l4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14:paraId="3B552B94" w14:textId="07CF460C" w:rsidR="00FE4B1A" w:rsidRPr="006D2522" w:rsidRDefault="00FE4B1A" w:rsidP="00FE4B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522">
        <w:rPr>
          <w:rFonts w:ascii="Times New Roman" w:hAnsi="Times New Roman" w:cs="Times New Roman"/>
          <w:sz w:val="24"/>
          <w:szCs w:val="24"/>
        </w:rPr>
        <w:t xml:space="preserve">Hlavním důvodem předložení novely nařízení vlády č. 361/2007 Sb. je </w:t>
      </w:r>
      <w:r w:rsidR="00C55A22">
        <w:rPr>
          <w:rFonts w:ascii="Times New Roman" w:hAnsi="Times New Roman" w:cs="Times New Roman"/>
          <w:sz w:val="24"/>
          <w:szCs w:val="24"/>
        </w:rPr>
        <w:t xml:space="preserve">vyjádření </w:t>
      </w:r>
      <w:r w:rsidRPr="006D2522">
        <w:rPr>
          <w:rFonts w:ascii="Times New Roman" w:hAnsi="Times New Roman" w:cs="Times New Roman"/>
          <w:sz w:val="24"/>
          <w:szCs w:val="24"/>
        </w:rPr>
        <w:t>Evropské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22">
        <w:rPr>
          <w:rFonts w:ascii="Times New Roman" w:hAnsi="Times New Roman" w:cs="Times New Roman"/>
          <w:sz w:val="24"/>
          <w:szCs w:val="24"/>
        </w:rPr>
        <w:t>ve věci EU-Pilot EUP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22">
        <w:rPr>
          <w:rFonts w:ascii="Times New Roman" w:hAnsi="Times New Roman" w:cs="Times New Roman"/>
          <w:sz w:val="24"/>
          <w:szCs w:val="24"/>
        </w:rPr>
        <w:t>(2023)10621, týkající se technických úprav souvisejících s</w:t>
      </w:r>
      <w:r w:rsidR="00E900C5">
        <w:rPr>
          <w:rFonts w:ascii="Times New Roman" w:hAnsi="Times New Roman" w:cs="Times New Roman"/>
          <w:sz w:val="24"/>
          <w:szCs w:val="24"/>
        </w:rPr>
        <w:t> </w:t>
      </w:r>
      <w:r w:rsidRPr="006D2522">
        <w:rPr>
          <w:rFonts w:ascii="Times New Roman" w:hAnsi="Times New Roman" w:cs="Times New Roman"/>
          <w:sz w:val="24"/>
          <w:szCs w:val="24"/>
        </w:rPr>
        <w:t xml:space="preserve">implementací směrnice Komise (EU) 2019/1833, kterou se mění přílohy I, III, V a VI směrnice Evropského parlamentu a Rady 2000/54/ES, </w:t>
      </w:r>
      <w:r w:rsidR="006D2399">
        <w:rPr>
          <w:rFonts w:ascii="Times New Roman" w:hAnsi="Times New Roman" w:cs="Times New Roman"/>
          <w:sz w:val="24"/>
          <w:szCs w:val="24"/>
        </w:rPr>
        <w:t>po</w:t>
      </w:r>
      <w:r w:rsidRPr="006D2522">
        <w:rPr>
          <w:rFonts w:ascii="Times New Roman" w:hAnsi="Times New Roman" w:cs="Times New Roman"/>
          <w:sz w:val="24"/>
          <w:szCs w:val="24"/>
        </w:rPr>
        <w:t>dle jehož výsledků je nutno provést úpravu v předmětném nařízení vlády v co nejkratší době, a to v oblasti biologických činitelů a</w:t>
      </w:r>
      <w:r w:rsidR="00B61E2D">
        <w:rPr>
          <w:rFonts w:ascii="Times New Roman" w:hAnsi="Times New Roman" w:cs="Times New Roman"/>
          <w:sz w:val="24"/>
          <w:szCs w:val="24"/>
        </w:rPr>
        <w:t> </w:t>
      </w:r>
      <w:r w:rsidRPr="006D2522">
        <w:rPr>
          <w:rFonts w:ascii="Times New Roman" w:hAnsi="Times New Roman" w:cs="Times New Roman"/>
          <w:sz w:val="24"/>
          <w:szCs w:val="24"/>
        </w:rPr>
        <w:t xml:space="preserve">zajištění ochrany zdraví při práci s nimi. </w:t>
      </w:r>
      <w:r w:rsidRPr="00CC3CE3">
        <w:rPr>
          <w:rFonts w:ascii="Times New Roman" w:hAnsi="Times New Roman" w:cs="Times New Roman"/>
          <w:sz w:val="24"/>
          <w:szCs w:val="24"/>
        </w:rPr>
        <w:t>Úprava oblasti biologických činitelů bude mít za cíl narovnat nynější nedostatečnou implementaci směrnice Komise (EU) 2019/1833, kterou se mění přílohy I, III, V a VI směrnice Evropského parlamentu a Rady 2000/54/ES.</w:t>
      </w:r>
    </w:p>
    <w:p w14:paraId="0463D63F" w14:textId="77777777" w:rsidR="00FB22B6" w:rsidRPr="00FB22B6" w:rsidRDefault="00FB22B6" w:rsidP="00FB22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1FCB" w14:textId="78D3BB1E" w:rsidR="00FE4B1A" w:rsidRDefault="00FE4B1A" w:rsidP="00FE4B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522">
        <w:rPr>
          <w:rFonts w:ascii="Times New Roman" w:hAnsi="Times New Roman" w:cs="Times New Roman"/>
          <w:sz w:val="24"/>
          <w:szCs w:val="24"/>
        </w:rPr>
        <w:t>Dalším důvodem je skutečnost, že od 1. 1. 2024 je v účinnosti předchozí novela (nařízení vlády č. 330/2023 Sb.), jež upravuje bližší hygienické požadavky na osvětlení pracoviště a v rámci které došlo k reflektování nových EN norem na denní a elektrické osvětlení. Nyní se rozsáhlá úprava této oblasti (§ 45, § 45a, § 45b, § 45c</w:t>
      </w:r>
      <w:r>
        <w:rPr>
          <w:rFonts w:ascii="Times New Roman" w:hAnsi="Times New Roman" w:cs="Times New Roman"/>
          <w:sz w:val="24"/>
          <w:szCs w:val="24"/>
        </w:rPr>
        <w:t xml:space="preserve"> nařízení vlády č. 361/2007 Sb.</w:t>
      </w:r>
      <w:r w:rsidRPr="006D2522">
        <w:rPr>
          <w:rFonts w:ascii="Times New Roman" w:hAnsi="Times New Roman" w:cs="Times New Roman"/>
          <w:sz w:val="24"/>
          <w:szCs w:val="24"/>
        </w:rPr>
        <w:t>) jeví v praxi jako těžko uchopitelná a velmi obtížně aplikovatelná, což bylo zjištěno opakovanými podněty z</w:t>
      </w:r>
      <w:r w:rsidR="00E900C5">
        <w:rPr>
          <w:rFonts w:ascii="Times New Roman" w:hAnsi="Times New Roman" w:cs="Times New Roman"/>
          <w:sz w:val="24"/>
          <w:szCs w:val="24"/>
        </w:rPr>
        <w:t> </w:t>
      </w:r>
      <w:r w:rsidRPr="006D2522">
        <w:rPr>
          <w:rFonts w:ascii="Times New Roman" w:hAnsi="Times New Roman" w:cs="Times New Roman"/>
          <w:sz w:val="24"/>
          <w:szCs w:val="24"/>
        </w:rPr>
        <w:t>krajských hygienických stanic, které v rámci posuzování projektových dokumentací provádějí tzv. preventivní hygienický dozor, tedy zjišťují soulad předložené dokumentace s</w:t>
      </w:r>
      <w:r w:rsidR="00543639">
        <w:rPr>
          <w:rFonts w:ascii="Times New Roman" w:hAnsi="Times New Roman" w:cs="Times New Roman"/>
          <w:sz w:val="24"/>
          <w:szCs w:val="24"/>
        </w:rPr>
        <w:t> </w:t>
      </w:r>
      <w:r w:rsidRPr="006D2522">
        <w:rPr>
          <w:rFonts w:ascii="Times New Roman" w:hAnsi="Times New Roman" w:cs="Times New Roman"/>
          <w:sz w:val="24"/>
          <w:szCs w:val="24"/>
        </w:rPr>
        <w:t xml:space="preserve">právními </w:t>
      </w:r>
      <w:r w:rsidRPr="006D2522">
        <w:rPr>
          <w:rFonts w:ascii="Times New Roman" w:hAnsi="Times New Roman" w:cs="Times New Roman"/>
          <w:sz w:val="24"/>
          <w:szCs w:val="24"/>
        </w:rPr>
        <w:lastRenderedPageBreak/>
        <w:t>předpisy, neboť jejich dodržování je nutné pro ochranu zdraví zaměstnanců na pracovištích.</w:t>
      </w:r>
      <w:r w:rsidR="005357DD">
        <w:rPr>
          <w:rFonts w:ascii="Times New Roman" w:hAnsi="Times New Roman" w:cs="Times New Roman"/>
          <w:sz w:val="24"/>
          <w:szCs w:val="24"/>
        </w:rPr>
        <w:t xml:space="preserve"> Dále </w:t>
      </w:r>
      <w:r w:rsidR="00445B8C">
        <w:rPr>
          <w:rFonts w:ascii="Times New Roman" w:hAnsi="Times New Roman" w:cs="Times New Roman"/>
          <w:sz w:val="24"/>
          <w:szCs w:val="24"/>
        </w:rPr>
        <w:t>tyto činnosti zajišťují i během běžného státního zdravotního dozoru.</w:t>
      </w:r>
      <w:r w:rsidRPr="006D2522">
        <w:rPr>
          <w:rFonts w:ascii="Times New Roman" w:hAnsi="Times New Roman" w:cs="Times New Roman"/>
          <w:sz w:val="24"/>
          <w:szCs w:val="24"/>
        </w:rPr>
        <w:t xml:space="preserve"> </w:t>
      </w:r>
      <w:r w:rsidRPr="00172B64">
        <w:rPr>
          <w:rFonts w:ascii="Times New Roman" w:hAnsi="Times New Roman" w:cs="Times New Roman"/>
          <w:sz w:val="24"/>
          <w:szCs w:val="24"/>
        </w:rPr>
        <w:t>Úprava bude mít za cíl precizovat, upřesnit a v praxi snáze aplikovat tyto požadavky na pracoviště vyplývající z</w:t>
      </w:r>
      <w:r w:rsidR="00B61E2D">
        <w:rPr>
          <w:rFonts w:ascii="Times New Roman" w:hAnsi="Times New Roman" w:cs="Times New Roman"/>
          <w:sz w:val="24"/>
          <w:szCs w:val="24"/>
        </w:rPr>
        <w:t> </w:t>
      </w:r>
      <w:r w:rsidRPr="00172B64">
        <w:rPr>
          <w:rFonts w:ascii="Times New Roman" w:hAnsi="Times New Roman" w:cs="Times New Roman"/>
          <w:sz w:val="24"/>
          <w:szCs w:val="24"/>
        </w:rPr>
        <w:t>uvedených ustanovení, a to za současného zachování požadavků z technických norem.</w:t>
      </w:r>
    </w:p>
    <w:p w14:paraId="5E77660D" w14:textId="77777777" w:rsidR="00FB22B6" w:rsidRPr="00FB22B6" w:rsidRDefault="00FB22B6" w:rsidP="00FB22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0FDF1" w14:textId="3D1432E2" w:rsidR="00FB22B6" w:rsidRPr="00294508" w:rsidRDefault="00FE4B1A" w:rsidP="002945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522">
        <w:rPr>
          <w:rFonts w:ascii="Times New Roman" w:hAnsi="Times New Roman" w:cs="Times New Roman"/>
          <w:sz w:val="24"/>
          <w:szCs w:val="24"/>
        </w:rPr>
        <w:t>Dalším důvodem je nutnost úpravy bezpečnostních přestávek.</w:t>
      </w:r>
      <w:r w:rsidRPr="00540837">
        <w:t xml:space="preserve"> </w:t>
      </w:r>
      <w:r w:rsidR="00B2122C">
        <w:rPr>
          <w:rFonts w:ascii="Times New Roman" w:hAnsi="Times New Roman" w:cs="Times New Roman"/>
          <w:sz w:val="24"/>
          <w:szCs w:val="24"/>
        </w:rPr>
        <w:t>Ministerstvo zdravotnictví se zavázalo k</w:t>
      </w:r>
      <w:r w:rsidR="00147F77">
        <w:rPr>
          <w:rFonts w:ascii="Times New Roman" w:hAnsi="Times New Roman" w:cs="Times New Roman"/>
          <w:sz w:val="24"/>
          <w:szCs w:val="24"/>
        </w:rPr>
        <w:t> jejich úpravě při předchozí novele</w:t>
      </w:r>
      <w:r w:rsidR="00B2122C">
        <w:rPr>
          <w:rFonts w:ascii="Times New Roman" w:hAnsi="Times New Roman" w:cs="Times New Roman"/>
          <w:sz w:val="24"/>
          <w:szCs w:val="24"/>
        </w:rPr>
        <w:t xml:space="preserve">. </w:t>
      </w:r>
      <w:r w:rsidR="00A504B6" w:rsidRPr="00A504B6">
        <w:rPr>
          <w:rFonts w:ascii="Times New Roman" w:hAnsi="Times New Roman" w:cs="Times New Roman"/>
          <w:sz w:val="24"/>
          <w:szCs w:val="24"/>
        </w:rPr>
        <w:t>Na základě jednání se zaměstnavateli a</w:t>
      </w:r>
      <w:r w:rsidR="000C6970">
        <w:rPr>
          <w:rFonts w:ascii="Times New Roman" w:hAnsi="Times New Roman" w:cs="Times New Roman"/>
          <w:sz w:val="24"/>
          <w:szCs w:val="24"/>
        </w:rPr>
        <w:t> </w:t>
      </w:r>
      <w:r w:rsidR="00A504B6" w:rsidRPr="00A504B6">
        <w:rPr>
          <w:rFonts w:ascii="Times New Roman" w:hAnsi="Times New Roman" w:cs="Times New Roman"/>
          <w:sz w:val="24"/>
          <w:szCs w:val="24"/>
        </w:rPr>
        <w:t>zástupci zaměstnanců je zachována délka trvání bezpečnostních přestávek (5 až 10 min, jak je již v</w:t>
      </w:r>
      <w:r w:rsidR="00B61E2D">
        <w:rPr>
          <w:rFonts w:ascii="Times New Roman" w:hAnsi="Times New Roman" w:cs="Times New Roman"/>
          <w:sz w:val="24"/>
          <w:szCs w:val="24"/>
        </w:rPr>
        <w:t> </w:t>
      </w:r>
      <w:r w:rsidR="00A504B6" w:rsidRPr="00A504B6">
        <w:rPr>
          <w:rFonts w:ascii="Times New Roman" w:hAnsi="Times New Roman" w:cs="Times New Roman"/>
          <w:sz w:val="24"/>
          <w:szCs w:val="24"/>
        </w:rPr>
        <w:t xml:space="preserve">současném znění), doplněno však je, že poslední bezpečnostní přestávka se zařazuje nejpozději 1 hodinu před ukončením směny. Dále dochází k upřesnění, že pokud zaměstnavatel využije možnosti střídání činností (namísto bezpečnostní přestávky), nesmí </w:t>
      </w:r>
      <w:r w:rsidR="00EB3197">
        <w:rPr>
          <w:rFonts w:ascii="Times New Roman" w:hAnsi="Times New Roman" w:cs="Times New Roman"/>
          <w:sz w:val="24"/>
          <w:szCs w:val="24"/>
        </w:rPr>
        <w:t xml:space="preserve">zaměstnance </w:t>
      </w:r>
      <w:r w:rsidR="00A504B6" w:rsidRPr="00A504B6">
        <w:rPr>
          <w:rFonts w:ascii="Times New Roman" w:hAnsi="Times New Roman" w:cs="Times New Roman"/>
          <w:sz w:val="24"/>
          <w:szCs w:val="24"/>
        </w:rPr>
        <w:t>přiřadit k práci, v</w:t>
      </w:r>
      <w:r w:rsidR="00294508">
        <w:rPr>
          <w:rFonts w:ascii="Times New Roman" w:hAnsi="Times New Roman" w:cs="Times New Roman"/>
          <w:sz w:val="24"/>
          <w:szCs w:val="24"/>
        </w:rPr>
        <w:t> </w:t>
      </w:r>
      <w:r w:rsidR="00A504B6" w:rsidRPr="00A504B6">
        <w:rPr>
          <w:rFonts w:ascii="Times New Roman" w:hAnsi="Times New Roman" w:cs="Times New Roman"/>
          <w:sz w:val="24"/>
          <w:szCs w:val="24"/>
        </w:rPr>
        <w:t>rámci</w:t>
      </w:r>
      <w:r w:rsidR="00294508">
        <w:rPr>
          <w:rFonts w:ascii="Times New Roman" w:hAnsi="Times New Roman" w:cs="Times New Roman"/>
          <w:sz w:val="24"/>
          <w:szCs w:val="24"/>
        </w:rPr>
        <w:t>,</w:t>
      </w:r>
      <w:r w:rsidR="00A504B6" w:rsidRPr="00A504B6">
        <w:rPr>
          <w:rFonts w:ascii="Times New Roman" w:hAnsi="Times New Roman" w:cs="Times New Roman"/>
          <w:sz w:val="24"/>
          <w:szCs w:val="24"/>
        </w:rPr>
        <w:t xml:space="preserve"> které by byl znovu exponován danému faktoru</w:t>
      </w:r>
      <w:r w:rsidR="009C2B62">
        <w:rPr>
          <w:rFonts w:ascii="Times New Roman" w:hAnsi="Times New Roman" w:cs="Times New Roman"/>
          <w:sz w:val="24"/>
          <w:szCs w:val="24"/>
        </w:rPr>
        <w:t xml:space="preserve"> zařazenému do kategorie rizikové </w:t>
      </w:r>
      <w:r w:rsidR="0011369A">
        <w:rPr>
          <w:rFonts w:ascii="Times New Roman" w:hAnsi="Times New Roman" w:cs="Times New Roman"/>
          <w:sz w:val="24"/>
          <w:szCs w:val="24"/>
        </w:rPr>
        <w:t>po</w:t>
      </w:r>
      <w:r w:rsidR="009C2B62">
        <w:rPr>
          <w:rFonts w:ascii="Times New Roman" w:hAnsi="Times New Roman" w:cs="Times New Roman"/>
          <w:sz w:val="24"/>
          <w:szCs w:val="24"/>
        </w:rPr>
        <w:t>dle zákona o ochraně veřejného zdraví</w:t>
      </w:r>
      <w:r w:rsidR="00A504B6" w:rsidRPr="00A504B6">
        <w:rPr>
          <w:rFonts w:ascii="Times New Roman" w:hAnsi="Times New Roman" w:cs="Times New Roman"/>
          <w:sz w:val="24"/>
          <w:szCs w:val="24"/>
        </w:rPr>
        <w:t>, pro který byla střídána jeho pracovní činnost.</w:t>
      </w:r>
    </w:p>
    <w:p w14:paraId="02E1676B" w14:textId="158332F3" w:rsidR="00FE4B1A" w:rsidRDefault="00FB22B6" w:rsidP="007919A5">
      <w:pPr>
        <w:spacing w:after="0" w:line="240" w:lineRule="auto"/>
        <w:ind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22B6">
        <w:rPr>
          <w:rFonts w:ascii="Times New Roman" w:eastAsia="Arial" w:hAnsi="Times New Roman" w:cs="Times New Roman"/>
          <w:sz w:val="24"/>
          <w:szCs w:val="24"/>
        </w:rPr>
        <w:t xml:space="preserve">Popsaná problematika (práce s biologickými činiteli, bezpečností přestávky a bližší hygienické požadavky na osvětlení pracovišť) je v českém právním řádu již upravena </w:t>
      </w:r>
      <w:r w:rsidR="002C235F">
        <w:rPr>
          <w:rFonts w:ascii="Times New Roman" w:eastAsia="Arial" w:hAnsi="Times New Roman" w:cs="Times New Roman"/>
          <w:sz w:val="24"/>
          <w:szCs w:val="24"/>
        </w:rPr>
        <w:t>nařízením vlády</w:t>
      </w:r>
      <w:r w:rsidRPr="00FB22B6">
        <w:rPr>
          <w:rFonts w:ascii="Times New Roman" w:eastAsia="Arial" w:hAnsi="Times New Roman" w:cs="Times New Roman"/>
          <w:sz w:val="24"/>
          <w:szCs w:val="24"/>
        </w:rPr>
        <w:t xml:space="preserve"> č.</w:t>
      </w:r>
      <w:r w:rsidR="00B61E2D">
        <w:rPr>
          <w:rFonts w:ascii="Times New Roman" w:eastAsia="Arial" w:hAnsi="Times New Roman" w:cs="Times New Roman"/>
          <w:sz w:val="24"/>
          <w:szCs w:val="24"/>
        </w:rPr>
        <w:t> </w:t>
      </w:r>
      <w:r w:rsidRPr="00FB22B6">
        <w:rPr>
          <w:rFonts w:ascii="Times New Roman" w:eastAsia="Arial" w:hAnsi="Times New Roman" w:cs="Times New Roman"/>
          <w:sz w:val="24"/>
          <w:szCs w:val="24"/>
        </w:rPr>
        <w:t>361/2007 Sb. a jedná se tedy o zavedené a funkční řešení.</w:t>
      </w:r>
    </w:p>
    <w:p w14:paraId="653F775F" w14:textId="70E3BB7B" w:rsidR="007919A5" w:rsidRDefault="007919A5" w:rsidP="007919A5">
      <w:pPr>
        <w:spacing w:after="0" w:line="240" w:lineRule="auto"/>
        <w:ind w:firstLine="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EB6379" w14:textId="2A2F4E57" w:rsidR="00FB22B6" w:rsidRDefault="00A01D9D" w:rsidP="007919A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70176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41A">
        <w:rPr>
          <w:rFonts w:ascii="Times New Roman" w:eastAsia="Arial" w:hAnsi="Times New Roman" w:cs="Times New Roman"/>
          <w:b/>
          <w:sz w:val="24"/>
          <w:szCs w:val="24"/>
        </w:rPr>
        <w:t>Zhodnocení souladu navrhované právní úpravy se zákonem, k jehož provedení je navržena, včetně souladu se zákonným zmocněním k jejímu vydání</w:t>
      </w:r>
    </w:p>
    <w:p w14:paraId="3C226D05" w14:textId="77777777" w:rsidR="00A01D9D" w:rsidRDefault="00A01D9D" w:rsidP="007919A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471F870" w14:textId="1C3A1771" w:rsidR="00FB22B6" w:rsidRPr="009902E4" w:rsidRDefault="00A01D9D" w:rsidP="00FB22B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E4">
        <w:rPr>
          <w:rFonts w:ascii="Times New Roman" w:eastAsia="Arial" w:hAnsi="Times New Roman" w:cs="Times New Roman"/>
          <w:sz w:val="24"/>
          <w:szCs w:val="24"/>
        </w:rPr>
        <w:t xml:space="preserve">Předložený návrh </w:t>
      </w:r>
      <w:r w:rsidRPr="009902E4">
        <w:rPr>
          <w:rFonts w:ascii="Times New Roman" w:hAnsi="Times New Roman"/>
          <w:bCs/>
          <w:sz w:val="24"/>
          <w:szCs w:val="24"/>
        </w:rPr>
        <w:t xml:space="preserve">nařízení vlády </w:t>
      </w:r>
      <w:r w:rsidRPr="009902E4">
        <w:rPr>
          <w:rFonts w:ascii="Times New Roman" w:eastAsia="Arial" w:hAnsi="Times New Roman" w:cs="Times New Roman"/>
          <w:sz w:val="24"/>
          <w:szCs w:val="24"/>
        </w:rPr>
        <w:t xml:space="preserve">respektuje rozsah a meze zákonného zmocnění podle zákona </w:t>
      </w:r>
      <w:r w:rsidRPr="009902E4">
        <w:rPr>
          <w:rFonts w:ascii="Times New Roman" w:hAnsi="Times New Roman" w:cs="Times New Roman"/>
          <w:sz w:val="24"/>
          <w:szCs w:val="24"/>
        </w:rPr>
        <w:t xml:space="preserve">č. 309/2006 </w:t>
      </w:r>
      <w:r w:rsidRPr="00764193">
        <w:rPr>
          <w:rFonts w:ascii="Times New Roman" w:hAnsi="Times New Roman" w:cs="Times New Roman"/>
          <w:sz w:val="24"/>
          <w:szCs w:val="24"/>
        </w:rPr>
        <w:t>Sb. a zákona č. 262/006 Sb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0C2F1" w14:textId="77777777" w:rsidR="00FB22B6" w:rsidRPr="00764193" w:rsidRDefault="00FB22B6" w:rsidP="00FB22B6">
      <w:pPr>
        <w:pStyle w:val="Odsazentlatextu"/>
        <w:spacing w:after="0" w:line="240" w:lineRule="auto"/>
        <w:ind w:left="0"/>
        <w:jc w:val="both"/>
        <w:rPr>
          <w:rFonts w:eastAsia="Arial"/>
        </w:rPr>
      </w:pPr>
    </w:p>
    <w:p w14:paraId="71538385" w14:textId="77777777" w:rsidR="00FB22B6" w:rsidRPr="00764193" w:rsidRDefault="00FB22B6" w:rsidP="00FB22B6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97BC8" w14:textId="1EA85192" w:rsidR="00FB22B6" w:rsidRPr="00E538B7" w:rsidRDefault="00A01D9D" w:rsidP="00FB22B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22B6" w:rsidRPr="00764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B6" w:rsidRPr="00764193">
        <w:rPr>
          <w:rFonts w:ascii="Times New Roman" w:hAnsi="Times New Roman" w:cs="Times New Roman"/>
          <w:b/>
          <w:sz w:val="24"/>
          <w:szCs w:val="24"/>
        </w:rPr>
        <w:tab/>
      </w:r>
      <w:r w:rsidR="00FB22B6" w:rsidRPr="00E538B7">
        <w:rPr>
          <w:rFonts w:ascii="Times New Roman" w:hAnsi="Times New Roman" w:cs="Times New Roman"/>
          <w:b/>
          <w:sz w:val="24"/>
          <w:szCs w:val="24"/>
        </w:rPr>
        <w:t xml:space="preserve">Zhodnocení souladu navrhované právní úpravy s předpisy EU, judikaturou soudních orgánů EU a obecnými právními zásadami práva EU </w:t>
      </w:r>
      <w:r>
        <w:rPr>
          <w:rFonts w:ascii="Times New Roman" w:hAnsi="Times New Roman" w:cs="Times New Roman"/>
          <w:b/>
          <w:sz w:val="24"/>
          <w:szCs w:val="24"/>
        </w:rPr>
        <w:t>a mezinárodními smlouvami</w:t>
      </w:r>
    </w:p>
    <w:p w14:paraId="373E61E0" w14:textId="77777777" w:rsidR="00FB22B6" w:rsidRPr="00E538B7" w:rsidRDefault="00FB22B6" w:rsidP="00FB22B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1C596" w14:textId="6BF2D864" w:rsidR="00FB22B6" w:rsidRPr="00E538B7" w:rsidRDefault="00FB22B6" w:rsidP="00FB22B6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38B7">
        <w:rPr>
          <w:rFonts w:ascii="Times New Roman" w:eastAsia="Arial" w:hAnsi="Times New Roman" w:cs="Times New Roman"/>
          <w:sz w:val="24"/>
          <w:szCs w:val="24"/>
        </w:rPr>
        <w:t xml:space="preserve">Některé navrhované změny </w:t>
      </w:r>
      <w:r w:rsidR="00060781" w:rsidRPr="00E538B7">
        <w:rPr>
          <w:rFonts w:ascii="Times New Roman" w:eastAsia="Arial" w:hAnsi="Times New Roman" w:cs="Times New Roman"/>
          <w:sz w:val="24"/>
          <w:szCs w:val="24"/>
        </w:rPr>
        <w:t>nařízení vlády</w:t>
      </w:r>
      <w:r w:rsidRPr="00E538B7">
        <w:rPr>
          <w:rFonts w:ascii="Times New Roman" w:eastAsia="Arial" w:hAnsi="Times New Roman" w:cs="Times New Roman"/>
          <w:sz w:val="24"/>
          <w:szCs w:val="24"/>
        </w:rPr>
        <w:t xml:space="preserve"> jsou prováděny v ustanoveních, která byla dříve vykázána jako transpoziční vůči některým ustanovením předpisů EU, avšak bez toho, aniž by došlo ke změnám způsobu transpozice dotčených předpisů EU. V tomto ohledu se návrh </w:t>
      </w:r>
      <w:r w:rsidR="00060781" w:rsidRPr="00E538B7">
        <w:rPr>
          <w:rFonts w:ascii="Times New Roman" w:eastAsia="Arial" w:hAnsi="Times New Roman" w:cs="Times New Roman"/>
          <w:sz w:val="24"/>
          <w:szCs w:val="24"/>
        </w:rPr>
        <w:t>nařízení vlády</w:t>
      </w:r>
      <w:r w:rsidRPr="00E538B7">
        <w:rPr>
          <w:rFonts w:ascii="Times New Roman" w:eastAsia="Arial" w:hAnsi="Times New Roman" w:cs="Times New Roman"/>
          <w:sz w:val="24"/>
          <w:szCs w:val="24"/>
        </w:rPr>
        <w:t xml:space="preserve"> dotýká těchto ustanovení předpisů EU:</w:t>
      </w:r>
    </w:p>
    <w:p w14:paraId="4AB5FA89" w14:textId="77777777" w:rsidR="00FB22B6" w:rsidRPr="00E538B7" w:rsidRDefault="00FB22B6" w:rsidP="00FB22B6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B7187E1" w14:textId="0FC835F5" w:rsidR="00EF2406" w:rsidRPr="00E538B7" w:rsidRDefault="00EF2406" w:rsidP="00FB22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>Směrnice Rady 92/104/EHS z 3. prosince 1992, týkající se minimálních požadavků pro zvýšení bezpečnosti a ochrany zdraví pracovníků v povrchovém a hlubinném těžebním průmyslu (v pořadí dvanáctá samostatná směrnice, v souladu se zněním Článku 16 (1) Směrnice 89/391/EHS)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1E71BCDF" w14:textId="0ECAB0E1" w:rsidR="00EF2406" w:rsidRPr="00E538B7" w:rsidRDefault="00EF2406" w:rsidP="00FB22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>Směrnice Rady 92/91/EHS z 3. listopadu 1992, týkající se minimálních požadavků pro zvýšení bezpečnosti a ochrany zdraví pracovníků v těžebním vrtném průmyslu (v pořadí jedenáctá samostatná směrnice, v souladu se zněním Článku 16 (1) Směrnice 89/391/EHS)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1DF55AEB" w14:textId="10F0560C" w:rsidR="00EF2406" w:rsidRPr="00E538B7" w:rsidRDefault="00EF2406" w:rsidP="00FB22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>Směrnice Rady 92/57/EHS ze dne 24. června 1992 o minimálních požadavcích na bezpečnost a ochranu zdraví na dočasných nebo mobilních staveništích (osmá samostatná směrnice ve smyslu čl. 16 odst. 1 směrnice 89/391/EHS)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45FF884E" w14:textId="59851158" w:rsidR="00EF2406" w:rsidRPr="00E538B7" w:rsidRDefault="00EF2406" w:rsidP="00FB22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 xml:space="preserve">Směrnice Rady č. 89/654/EHS </w:t>
      </w:r>
      <w:r w:rsidR="00E538B7" w:rsidRPr="00E538B7">
        <w:rPr>
          <w:rFonts w:ascii="Times New Roman" w:hAnsi="Times New Roman" w:cs="Times New Roman"/>
          <w:sz w:val="24"/>
          <w:szCs w:val="24"/>
        </w:rPr>
        <w:t xml:space="preserve">ze dne 30. listopadu 1989 </w:t>
      </w:r>
      <w:r w:rsidRPr="00E538B7">
        <w:rPr>
          <w:rFonts w:ascii="Times New Roman" w:hAnsi="Times New Roman" w:cs="Times New Roman"/>
          <w:sz w:val="24"/>
          <w:szCs w:val="24"/>
        </w:rPr>
        <w:t>o minimálních požadavcích na bezpečnost a ochranu zdraví na pracovišti (první samostatná směrnice ve smyslu čl. 16 odst. 1 směrnice 89/391/EHS)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274235D4" w14:textId="27BCF52D" w:rsidR="00FB22B6" w:rsidRPr="00E538B7" w:rsidRDefault="00EF2406" w:rsidP="00FB22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>Směrnice Evropského parlamentu a Rady 2009/148/ES ze dne 30. listopadu 2009, o</w:t>
      </w:r>
      <w:r w:rsidR="00D83252">
        <w:rPr>
          <w:rFonts w:ascii="Times New Roman" w:hAnsi="Times New Roman" w:cs="Times New Roman"/>
          <w:sz w:val="24"/>
          <w:szCs w:val="24"/>
        </w:rPr>
        <w:t> </w:t>
      </w:r>
      <w:r w:rsidRPr="00E538B7">
        <w:rPr>
          <w:rFonts w:ascii="Times New Roman" w:hAnsi="Times New Roman" w:cs="Times New Roman"/>
          <w:sz w:val="24"/>
          <w:szCs w:val="24"/>
        </w:rPr>
        <w:t>ochraně zaměstnanců před riziky spojenými s expozicí azbestu při práci</w:t>
      </w:r>
      <w:r w:rsidR="00FB22B6" w:rsidRPr="00E538B7">
        <w:rPr>
          <w:rFonts w:ascii="Times New Roman" w:hAnsi="Times New Roman" w:cs="Times New Roman"/>
          <w:sz w:val="24"/>
          <w:szCs w:val="24"/>
        </w:rPr>
        <w:t>,</w:t>
      </w:r>
    </w:p>
    <w:p w14:paraId="3217D8F6" w14:textId="681EC76C" w:rsidR="00FB22B6" w:rsidRPr="00E538B7" w:rsidRDefault="00EF2406" w:rsidP="00FB22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lastRenderedPageBreak/>
        <w:t>Směrnice Rady 2010/32/EU ze dne 10. května 2010, kterou se provádí Rámcová dohoda o prevenci poranění ostrými předměty v nemocnicích a ostatních zdravotnických zařízeních, uzavřená mezi HOSPEEM a EPSU</w:t>
      </w:r>
      <w:r w:rsidR="00FB22B6" w:rsidRPr="00E538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EB3221" w14:textId="565936A1" w:rsidR="00FB22B6" w:rsidRPr="00E538B7" w:rsidRDefault="00EF2406" w:rsidP="00FB22B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>Směrnice Evropského parlamentu a Rady 2009/41/ES ze dne 6. května 2009 o</w:t>
      </w:r>
      <w:r w:rsidR="00D83252">
        <w:rPr>
          <w:rFonts w:ascii="Times New Roman" w:hAnsi="Times New Roman" w:cs="Times New Roman"/>
          <w:sz w:val="24"/>
          <w:szCs w:val="24"/>
        </w:rPr>
        <w:t> </w:t>
      </w:r>
      <w:r w:rsidRPr="00E538B7">
        <w:rPr>
          <w:rFonts w:ascii="Times New Roman" w:hAnsi="Times New Roman" w:cs="Times New Roman"/>
          <w:sz w:val="24"/>
          <w:szCs w:val="24"/>
        </w:rPr>
        <w:t>uzavřeném nakládání s geneticky modifikovanými mikroorganismy (přepracované znění</w:t>
      </w:r>
      <w:r w:rsidR="00FB22B6" w:rsidRPr="00E538B7">
        <w:rPr>
          <w:rFonts w:ascii="Times New Roman" w:hAnsi="Times New Roman" w:cs="Times New Roman"/>
          <w:sz w:val="24"/>
          <w:szCs w:val="24"/>
        </w:rPr>
        <w:t>),</w:t>
      </w:r>
    </w:p>
    <w:p w14:paraId="1C0BDF7A" w14:textId="60F75155" w:rsidR="00EF2406" w:rsidRPr="00E538B7" w:rsidRDefault="00EF2406" w:rsidP="00EF24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 xml:space="preserve">Směrnice rady č. 90/270/EHS </w:t>
      </w:r>
      <w:r w:rsidR="00E538B7" w:rsidRPr="00E538B7">
        <w:rPr>
          <w:rFonts w:ascii="Times New Roman" w:hAnsi="Times New Roman" w:cs="Times New Roman"/>
          <w:sz w:val="24"/>
          <w:szCs w:val="24"/>
        </w:rPr>
        <w:t xml:space="preserve">ze dne 29. května 1990 </w:t>
      </w:r>
      <w:r w:rsidRPr="00E538B7">
        <w:rPr>
          <w:rFonts w:ascii="Times New Roman" w:hAnsi="Times New Roman" w:cs="Times New Roman"/>
          <w:sz w:val="24"/>
          <w:szCs w:val="24"/>
        </w:rPr>
        <w:t>o minimálních požadavcích na bezpečnost a ochranu zdraví pro práci se zobrazovacími jednotkami (pátá samostatná směrnice ve smyslu čl. 16 odst. 1 směrnice 89/391/EHS)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2FF5C78B" w14:textId="552400B7" w:rsidR="00FB22B6" w:rsidRPr="00E538B7" w:rsidRDefault="00EF2406" w:rsidP="00EF24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 xml:space="preserve">Směrnice Rady </w:t>
      </w:r>
      <w:r w:rsidR="00E538B7">
        <w:rPr>
          <w:rFonts w:ascii="Times New Roman" w:hAnsi="Times New Roman" w:cs="Times New Roman"/>
          <w:sz w:val="24"/>
          <w:szCs w:val="24"/>
        </w:rPr>
        <w:t xml:space="preserve">č. </w:t>
      </w:r>
      <w:r w:rsidRPr="00E538B7">
        <w:rPr>
          <w:rFonts w:ascii="Times New Roman" w:hAnsi="Times New Roman" w:cs="Times New Roman"/>
          <w:sz w:val="24"/>
          <w:szCs w:val="24"/>
        </w:rPr>
        <w:t xml:space="preserve">1989 89/391/EHS </w:t>
      </w:r>
      <w:r w:rsidR="00E538B7" w:rsidRPr="00E538B7">
        <w:rPr>
          <w:rFonts w:ascii="Times New Roman" w:hAnsi="Times New Roman" w:cs="Times New Roman"/>
          <w:sz w:val="24"/>
          <w:szCs w:val="24"/>
        </w:rPr>
        <w:t xml:space="preserve">ze dne 12. června </w:t>
      </w:r>
      <w:r w:rsidRPr="00E538B7">
        <w:rPr>
          <w:rFonts w:ascii="Times New Roman" w:hAnsi="Times New Roman" w:cs="Times New Roman"/>
          <w:sz w:val="24"/>
          <w:szCs w:val="24"/>
        </w:rPr>
        <w:t>o zavádění opatření pro zlepšení bezpečnosti a ochrany zdraví při práci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3F9DFD62" w14:textId="613C45F1" w:rsidR="00EF2406" w:rsidRPr="00E538B7" w:rsidRDefault="00EF2406" w:rsidP="00EF24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>Směrnice Evropského parlamentu a Rady 2000/54/ES ze dne 18. září 2000 o ochraně zaměstnanců před riziky spojenými s expozicí biologickým činitelům při práci (sedmá samostatná směrnice ve smyslu čl. 16 odst. 1 směrnice 89/391/EHS)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2330FA59" w14:textId="594062EF" w:rsidR="00EF2406" w:rsidRPr="00E538B7" w:rsidRDefault="00EF2406" w:rsidP="00EF24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B7">
        <w:rPr>
          <w:rFonts w:ascii="Times New Roman" w:hAnsi="Times New Roman" w:cs="Times New Roman"/>
          <w:sz w:val="24"/>
          <w:szCs w:val="24"/>
        </w:rPr>
        <w:t>S</w:t>
      </w:r>
      <w:r w:rsidR="00E538B7">
        <w:rPr>
          <w:rFonts w:ascii="Times New Roman" w:hAnsi="Times New Roman" w:cs="Times New Roman"/>
          <w:sz w:val="24"/>
          <w:szCs w:val="24"/>
        </w:rPr>
        <w:t>měrnice Komise</w:t>
      </w:r>
      <w:r w:rsidRPr="00E538B7">
        <w:rPr>
          <w:rFonts w:ascii="Times New Roman" w:hAnsi="Times New Roman" w:cs="Times New Roman"/>
          <w:sz w:val="24"/>
          <w:szCs w:val="24"/>
        </w:rPr>
        <w:t xml:space="preserve"> (EU) 2019/1833 ze dne 24. října 2019, kterou se mění přílohy I, III, V a VI směrnice Evropského parlamentu a Rady 2000/54/ES, pokud jde o úpravy čistě technického rázu</w:t>
      </w:r>
      <w:r w:rsidR="00E538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FE4BEF" w14:textId="5A1B2094" w:rsidR="00EF2406" w:rsidRDefault="00E538B7" w:rsidP="00EF24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Směrnice</w:t>
      </w:r>
      <w:r w:rsidR="00EF2406" w:rsidRPr="00EF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Evropského parlamentu a rady</w:t>
      </w:r>
      <w:r w:rsidR="00EF2406" w:rsidRPr="00EF2406">
        <w:rPr>
          <w:rFonts w:ascii="Times New Roman" w:hAnsi="Times New Roman" w:cs="Times New Roman"/>
          <w:sz w:val="24"/>
          <w:szCs w:val="24"/>
        </w:rPr>
        <w:t xml:space="preserve"> (EU) 2022/431 ze dne 9. března 2022, kterou se mění směrnice 2004/37/ES o ochraně zaměstnanců před riziky spojenými s expozicí karcinogenům nebo mutagenům při práci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A3BE97" w14:textId="6351EEC9" w:rsidR="00EF2406" w:rsidRDefault="00EF2406" w:rsidP="00EF24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06">
        <w:rPr>
          <w:rFonts w:ascii="Times New Roman" w:hAnsi="Times New Roman" w:cs="Times New Roman"/>
          <w:sz w:val="24"/>
          <w:szCs w:val="24"/>
        </w:rPr>
        <w:t>Směrnice Rady 98/24/ES ze dne 7. dubna 1998 o bezpečnosti a ochraně zdraví zaměstnanců před riziky spojenými s chemickými činiteli používanými při práci (čtrnáctá samostatná směrnice ve smyslu čl. 16 odst. 1 směrnice 89/391/EHS)</w:t>
      </w:r>
      <w:r w:rsidR="00E538B7">
        <w:rPr>
          <w:rFonts w:ascii="Times New Roman" w:hAnsi="Times New Roman" w:cs="Times New Roman"/>
          <w:sz w:val="24"/>
          <w:szCs w:val="24"/>
        </w:rPr>
        <w:t>,</w:t>
      </w:r>
    </w:p>
    <w:p w14:paraId="726F610B" w14:textId="332323CE" w:rsidR="00EF2406" w:rsidRDefault="00E538B7" w:rsidP="00EF24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Směrnice</w:t>
      </w:r>
      <w:r w:rsidRPr="00EF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Evropského parlamentu a rady</w:t>
      </w:r>
      <w:r w:rsidRPr="00EF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(EU) </w:t>
      </w:r>
      <w:r w:rsidR="00EF2406" w:rsidRPr="00EF2406">
        <w:rPr>
          <w:rFonts w:ascii="Times New Roman" w:hAnsi="Times New Roman" w:cs="Times New Roman"/>
          <w:sz w:val="24"/>
          <w:szCs w:val="24"/>
        </w:rPr>
        <w:t>2004/37/ES ze dne 29. dubna 2004 o</w:t>
      </w:r>
      <w:r w:rsidR="00D83252">
        <w:rPr>
          <w:rFonts w:ascii="Times New Roman" w:hAnsi="Times New Roman" w:cs="Times New Roman"/>
          <w:sz w:val="24"/>
          <w:szCs w:val="24"/>
        </w:rPr>
        <w:t> </w:t>
      </w:r>
      <w:r w:rsidR="00EF2406" w:rsidRPr="00EF2406">
        <w:rPr>
          <w:rFonts w:ascii="Times New Roman" w:hAnsi="Times New Roman" w:cs="Times New Roman"/>
          <w:sz w:val="24"/>
          <w:szCs w:val="24"/>
        </w:rPr>
        <w:t>ochraně zaměstnanců před riziky spojenými s expozicí karcinogenům nebo mutagenům při práci (šestá samostatná směrnice ve smyslu čl. 16 odst. 1 směrnice Rady 89/391/EHS)</w:t>
      </w:r>
      <w:r w:rsidR="00023D55">
        <w:rPr>
          <w:rFonts w:ascii="Times New Roman" w:hAnsi="Times New Roman" w:cs="Times New Roman"/>
          <w:sz w:val="24"/>
          <w:szCs w:val="24"/>
        </w:rPr>
        <w:t>,</w:t>
      </w:r>
    </w:p>
    <w:p w14:paraId="314E1007" w14:textId="77777777" w:rsidR="00EF2406" w:rsidRPr="00C97FD7" w:rsidRDefault="00EF2406" w:rsidP="00FB22B6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F4FB5D" w14:textId="3791A55E" w:rsidR="00FB22B6" w:rsidRPr="00C97FD7" w:rsidRDefault="00FB22B6" w:rsidP="00FB22B6">
      <w:pPr>
        <w:widowControl w:val="0"/>
        <w:suppressAutoHyphens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7FD7">
        <w:rPr>
          <w:rFonts w:ascii="Times New Roman" w:eastAsia="Arial" w:hAnsi="Times New Roman" w:cs="Times New Roman"/>
          <w:sz w:val="24"/>
          <w:szCs w:val="24"/>
        </w:rPr>
        <w:t xml:space="preserve">Předložený návrh novely </w:t>
      </w:r>
      <w:r w:rsidR="00946932" w:rsidRPr="00C97FD7">
        <w:rPr>
          <w:rFonts w:ascii="Times New Roman" w:eastAsia="Arial" w:hAnsi="Times New Roman" w:cs="Times New Roman"/>
          <w:sz w:val="24"/>
          <w:szCs w:val="24"/>
        </w:rPr>
        <w:t>nařízení vlády</w:t>
      </w:r>
      <w:r w:rsidRPr="00C97FD7">
        <w:rPr>
          <w:rFonts w:ascii="Times New Roman" w:eastAsia="Arial" w:hAnsi="Times New Roman" w:cs="Times New Roman"/>
          <w:sz w:val="24"/>
          <w:szCs w:val="24"/>
        </w:rPr>
        <w:t xml:space="preserve"> je v souladu s obecnými právními zásadami práva EU. Návrh novely </w:t>
      </w:r>
      <w:r w:rsidR="00946932" w:rsidRPr="00C97FD7">
        <w:rPr>
          <w:rFonts w:ascii="Times New Roman" w:eastAsia="Arial" w:hAnsi="Times New Roman" w:cs="Times New Roman"/>
          <w:sz w:val="24"/>
          <w:szCs w:val="24"/>
        </w:rPr>
        <w:t xml:space="preserve">nařízení vlády </w:t>
      </w:r>
      <w:r w:rsidRPr="00C97FD7">
        <w:rPr>
          <w:rFonts w:ascii="Times New Roman" w:eastAsia="Arial" w:hAnsi="Times New Roman" w:cs="Times New Roman"/>
          <w:sz w:val="24"/>
          <w:szCs w:val="24"/>
        </w:rPr>
        <w:t xml:space="preserve">je s právem EU plně slučitelný. </w:t>
      </w:r>
      <w:r w:rsidR="00BB3D6E" w:rsidRPr="00C97FD7">
        <w:rPr>
          <w:rFonts w:ascii="Times New Roman" w:eastAsia="Arial" w:hAnsi="Times New Roman" w:cs="Times New Roman"/>
          <w:sz w:val="24"/>
          <w:szCs w:val="24"/>
        </w:rPr>
        <w:t>Navrhovan</w:t>
      </w:r>
      <w:r w:rsidR="00BB3D6E">
        <w:rPr>
          <w:rFonts w:ascii="Times New Roman" w:eastAsia="Arial" w:hAnsi="Times New Roman" w:cs="Times New Roman"/>
          <w:sz w:val="24"/>
          <w:szCs w:val="24"/>
        </w:rPr>
        <w:t xml:space="preserve">é </w:t>
      </w:r>
      <w:r w:rsidRPr="00C97FD7">
        <w:rPr>
          <w:rFonts w:ascii="Times New Roman" w:eastAsia="Arial" w:hAnsi="Times New Roman" w:cs="Times New Roman"/>
          <w:sz w:val="24"/>
          <w:szCs w:val="24"/>
        </w:rPr>
        <w:t>úprav</w:t>
      </w:r>
      <w:r w:rsidR="00BB3D6E">
        <w:rPr>
          <w:rFonts w:ascii="Times New Roman" w:eastAsia="Arial" w:hAnsi="Times New Roman" w:cs="Times New Roman"/>
          <w:sz w:val="24"/>
          <w:szCs w:val="24"/>
        </w:rPr>
        <w:t>y</w:t>
      </w:r>
      <w:r w:rsidRPr="00C97FD7">
        <w:rPr>
          <w:rFonts w:ascii="Times New Roman" w:eastAsia="Arial" w:hAnsi="Times New Roman" w:cs="Times New Roman"/>
          <w:sz w:val="24"/>
          <w:szCs w:val="24"/>
        </w:rPr>
        <w:t xml:space="preserve"> se judikatura soudních orgánů EU nedotýká.</w:t>
      </w:r>
    </w:p>
    <w:p w14:paraId="4CEE8264" w14:textId="77777777" w:rsidR="00A8539D" w:rsidRDefault="00A8539D" w:rsidP="00F40CA6">
      <w:pPr>
        <w:widowControl w:val="0"/>
        <w:suppressAutoHyphens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AD7FA72" w14:textId="79D3C9B8" w:rsidR="00FB22B6" w:rsidRDefault="00FB22B6" w:rsidP="00F40CA6">
      <w:pPr>
        <w:widowControl w:val="0"/>
        <w:suppressAutoHyphens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60781">
        <w:rPr>
          <w:rFonts w:ascii="Times New Roman" w:eastAsia="Arial" w:hAnsi="Times New Roman" w:cs="Times New Roman"/>
          <w:sz w:val="24"/>
          <w:szCs w:val="24"/>
        </w:rPr>
        <w:t xml:space="preserve">Předkládaný návrh novely </w:t>
      </w:r>
      <w:r w:rsidR="00060781">
        <w:rPr>
          <w:rFonts w:ascii="Times New Roman" w:eastAsia="Arial" w:hAnsi="Times New Roman" w:cs="Times New Roman"/>
          <w:sz w:val="24"/>
          <w:szCs w:val="24"/>
        </w:rPr>
        <w:t>nařízení vlády</w:t>
      </w:r>
      <w:r w:rsidRPr="00060781">
        <w:rPr>
          <w:rFonts w:ascii="Times New Roman" w:eastAsia="Arial" w:hAnsi="Times New Roman" w:cs="Times New Roman"/>
          <w:sz w:val="24"/>
          <w:szCs w:val="24"/>
        </w:rPr>
        <w:t xml:space="preserve"> je rovněž v souladu s mezinárodními smlouvami, jimiž je Česká republika vázána</w:t>
      </w:r>
      <w:r w:rsidR="00060781" w:rsidRPr="0006078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06078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522876E" w14:textId="284DD97C" w:rsidR="00173CFE" w:rsidRPr="00470176" w:rsidRDefault="00173CFE" w:rsidP="00F40CA6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FC4">
        <w:rPr>
          <w:rFonts w:ascii="Times New Roman" w:hAnsi="Times New Roman" w:cs="Times New Roman"/>
          <w:bCs/>
          <w:sz w:val="24"/>
          <w:szCs w:val="24"/>
        </w:rPr>
        <w:t xml:space="preserve">Do návrhu novely je v souladu s právem Evropské unie provedena transpozice směrnice </w:t>
      </w:r>
      <w:r w:rsidR="000C0685">
        <w:rPr>
          <w:rFonts w:ascii="Times New Roman" w:hAnsi="Times New Roman"/>
          <w:sz w:val="24"/>
        </w:rPr>
        <w:t>Evropského Parlamentu a Rady</w:t>
      </w:r>
      <w:r w:rsidR="000C0685" w:rsidRPr="004E08B1">
        <w:rPr>
          <w:rFonts w:ascii="Times New Roman" w:hAnsi="Times New Roman"/>
          <w:sz w:val="24"/>
        </w:rPr>
        <w:t xml:space="preserve"> 2000/54/ES, o ochraně zaměstnanců před riziky spojenými s</w:t>
      </w:r>
      <w:r w:rsidR="00D83252">
        <w:rPr>
          <w:rFonts w:ascii="Times New Roman" w:hAnsi="Times New Roman"/>
          <w:sz w:val="24"/>
        </w:rPr>
        <w:t> </w:t>
      </w:r>
      <w:r w:rsidR="000C0685" w:rsidRPr="004E08B1">
        <w:rPr>
          <w:rFonts w:ascii="Times New Roman" w:hAnsi="Times New Roman"/>
          <w:sz w:val="24"/>
        </w:rPr>
        <w:t>expozicí biologickým činitelům při práci</w:t>
      </w:r>
      <w:r w:rsidR="002A37C2">
        <w:rPr>
          <w:rFonts w:ascii="Times New Roman" w:hAnsi="Times New Roman"/>
          <w:sz w:val="24"/>
        </w:rPr>
        <w:t xml:space="preserve">, včetně směrnice </w:t>
      </w:r>
      <w:r w:rsidRPr="006D2522">
        <w:rPr>
          <w:rFonts w:ascii="Times New Roman" w:hAnsi="Times New Roman" w:cs="Times New Roman"/>
          <w:sz w:val="24"/>
          <w:szCs w:val="24"/>
        </w:rPr>
        <w:t>Komise (EU) 2019/1833, kterou se mění přílohy I, III, V a VI směrnice Evropského parlamentu a Rady 2000/54/ES</w:t>
      </w:r>
      <w:r w:rsidR="00C34E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3552F" w14:textId="77777777" w:rsidR="00FA082F" w:rsidRPr="00A80876" w:rsidRDefault="00FA082F" w:rsidP="00FB22B6">
      <w:pPr>
        <w:pStyle w:val="odstavec1"/>
        <w:spacing w:before="0" w:line="300" w:lineRule="exact"/>
        <w:ind w:firstLine="0"/>
        <w:rPr>
          <w:szCs w:val="24"/>
        </w:rPr>
      </w:pPr>
    </w:p>
    <w:p w14:paraId="07F3C255" w14:textId="3D67A2C6" w:rsidR="00FB22B6" w:rsidRDefault="00FB22B6" w:rsidP="00FB22B6">
      <w:pPr>
        <w:pStyle w:val="odstavec1"/>
        <w:spacing w:before="0" w:line="300" w:lineRule="exact"/>
        <w:ind w:firstLine="0"/>
        <w:rPr>
          <w:szCs w:val="24"/>
        </w:rPr>
      </w:pPr>
      <w:r w:rsidRPr="00A80876">
        <w:rPr>
          <w:szCs w:val="24"/>
        </w:rPr>
        <w:t>Cílem předloženého návrhu je mimo jiné poskytnout subjektům větší srozumitelnost legislativy.</w:t>
      </w:r>
    </w:p>
    <w:p w14:paraId="69E0454D" w14:textId="77777777" w:rsidR="00C07DDC" w:rsidRDefault="00C07DDC" w:rsidP="00FB22B6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88B28" w14:textId="77777777" w:rsidR="00C07DDC" w:rsidRDefault="00C07DDC" w:rsidP="00C07DDC">
      <w:pPr>
        <w:widowControl w:val="0"/>
        <w:suppressAutoHyphens/>
        <w:spacing w:before="120" w:after="0" w:line="30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E241A">
        <w:rPr>
          <w:rFonts w:ascii="Times New Roman" w:eastAsia="Arial" w:hAnsi="Times New Roman" w:cs="Times New Roman"/>
          <w:b/>
          <w:sz w:val="24"/>
          <w:szCs w:val="24"/>
        </w:rPr>
        <w:t xml:space="preserve">4. Zhodnocení platného právního stavu a odůvodnění nezbytnosti jeho změny </w:t>
      </w:r>
    </w:p>
    <w:p w14:paraId="554F99F6" w14:textId="77777777" w:rsidR="00BB3D6E" w:rsidRDefault="00BB3D6E" w:rsidP="00C07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D676E" w14:textId="798B20EA" w:rsidR="00C07DDC" w:rsidRPr="00ED4088" w:rsidRDefault="00C07DDC" w:rsidP="00C07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088">
        <w:rPr>
          <w:rFonts w:ascii="Times New Roman" w:hAnsi="Times New Roman" w:cs="Times New Roman"/>
          <w:sz w:val="24"/>
          <w:szCs w:val="24"/>
        </w:rPr>
        <w:t>Nařízení vlády č. 361/2007 Sb.</w:t>
      </w:r>
      <w:r w:rsidRPr="00405EC1">
        <w:rPr>
          <w:rFonts w:ascii="Times New Roman" w:hAnsi="Times New Roman" w:cs="Times New Roman"/>
          <w:sz w:val="24"/>
          <w:szCs w:val="24"/>
        </w:rPr>
        <w:t xml:space="preserve"> </w:t>
      </w:r>
      <w:r w:rsidR="00F023AE">
        <w:rPr>
          <w:rFonts w:ascii="Times New Roman" w:hAnsi="Times New Roman" w:cs="Times New Roman"/>
          <w:sz w:val="24"/>
          <w:szCs w:val="24"/>
        </w:rPr>
        <w:t xml:space="preserve"> </w:t>
      </w:r>
      <w:r w:rsidRPr="00405EC1">
        <w:rPr>
          <w:rFonts w:ascii="Times New Roman" w:hAnsi="Times New Roman" w:cs="Times New Roman"/>
          <w:sz w:val="24"/>
          <w:szCs w:val="24"/>
        </w:rPr>
        <w:t>prov</w:t>
      </w:r>
      <w:r>
        <w:rPr>
          <w:rFonts w:ascii="Times New Roman" w:hAnsi="Times New Roman" w:cs="Times New Roman"/>
          <w:sz w:val="24"/>
          <w:szCs w:val="24"/>
        </w:rPr>
        <w:t>ádí</w:t>
      </w:r>
      <w:r w:rsidRPr="00405EC1">
        <w:rPr>
          <w:rFonts w:ascii="Times New Roman" w:hAnsi="Times New Roman" w:cs="Times New Roman"/>
          <w:sz w:val="24"/>
          <w:szCs w:val="24"/>
        </w:rPr>
        <w:t xml:space="preserve"> </w:t>
      </w:r>
      <w:r w:rsidRPr="00ED4088">
        <w:rPr>
          <w:rFonts w:ascii="Times New Roman" w:hAnsi="Times New Roman" w:cs="Times New Roman"/>
          <w:sz w:val="24"/>
          <w:szCs w:val="24"/>
        </w:rPr>
        <w:t xml:space="preserve">§ 21 písm. a) zákona č. 309/2006 Sb. a </w:t>
      </w:r>
      <w:r w:rsidR="00951C22">
        <w:rPr>
          <w:rFonts w:ascii="Times New Roman" w:hAnsi="Times New Roman" w:cs="Times New Roman"/>
          <w:sz w:val="24"/>
          <w:szCs w:val="24"/>
        </w:rPr>
        <w:t xml:space="preserve">také zákon </w:t>
      </w:r>
      <w:r w:rsidRPr="00ED4088">
        <w:rPr>
          <w:rFonts w:ascii="Times New Roman" w:hAnsi="Times New Roman" w:cs="Times New Roman"/>
          <w:sz w:val="24"/>
          <w:szCs w:val="24"/>
        </w:rPr>
        <w:t>č.</w:t>
      </w:r>
      <w:r w:rsidR="00D83252">
        <w:rPr>
          <w:rFonts w:ascii="Times New Roman" w:hAnsi="Times New Roman" w:cs="Times New Roman"/>
          <w:sz w:val="24"/>
          <w:szCs w:val="24"/>
        </w:rPr>
        <w:t> </w:t>
      </w:r>
      <w:r w:rsidRPr="00ED4088">
        <w:rPr>
          <w:rFonts w:ascii="Times New Roman" w:hAnsi="Times New Roman" w:cs="Times New Roman"/>
          <w:sz w:val="24"/>
          <w:szCs w:val="24"/>
        </w:rPr>
        <w:t xml:space="preserve">262/2006 Sb. </w:t>
      </w:r>
      <w:r w:rsidRPr="00405EC1">
        <w:rPr>
          <w:rFonts w:ascii="Times New Roman" w:hAnsi="Times New Roman" w:cs="Times New Roman"/>
          <w:sz w:val="24"/>
          <w:szCs w:val="24"/>
        </w:rPr>
        <w:t xml:space="preserve">Dané předpisy </w:t>
      </w:r>
      <w:proofErr w:type="gramStart"/>
      <w:r w:rsidRPr="00405EC1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právní</w:t>
      </w:r>
      <w:r w:rsidRPr="00405EC1">
        <w:rPr>
          <w:rFonts w:ascii="Times New Roman" w:hAnsi="Times New Roman" w:cs="Times New Roman"/>
          <w:sz w:val="24"/>
          <w:szCs w:val="24"/>
        </w:rPr>
        <w:t xml:space="preserve"> základ pro </w:t>
      </w:r>
      <w:r>
        <w:rPr>
          <w:rFonts w:ascii="Times New Roman" w:hAnsi="Times New Roman" w:cs="Times New Roman"/>
          <w:sz w:val="24"/>
          <w:szCs w:val="24"/>
        </w:rPr>
        <w:t xml:space="preserve">stanovení podmínek ochrany zdraví při </w:t>
      </w:r>
      <w:r>
        <w:rPr>
          <w:rFonts w:ascii="Times New Roman" w:hAnsi="Times New Roman" w:cs="Times New Roman"/>
          <w:sz w:val="24"/>
          <w:szCs w:val="24"/>
        </w:rPr>
        <w:lastRenderedPageBreak/>
        <w:t>práci</w:t>
      </w:r>
      <w:r w:rsidRPr="00405E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Předmětné</w:t>
      </w:r>
      <w:r w:rsidRPr="00ED4088">
        <w:rPr>
          <w:rFonts w:ascii="Times New Roman" w:hAnsi="Times New Roman" w:cs="Times New Roman"/>
          <w:sz w:val="24"/>
          <w:szCs w:val="24"/>
        </w:rPr>
        <w:t xml:space="preserve"> nařízení zapracovává</w:t>
      </w:r>
      <w:r>
        <w:rPr>
          <w:rFonts w:ascii="Times New Roman" w:hAnsi="Times New Roman" w:cs="Times New Roman"/>
          <w:sz w:val="24"/>
          <w:szCs w:val="24"/>
        </w:rPr>
        <w:t xml:space="preserve"> zároveň</w:t>
      </w:r>
      <w:r w:rsidRPr="00ED4088">
        <w:rPr>
          <w:rFonts w:ascii="Times New Roman" w:hAnsi="Times New Roman" w:cs="Times New Roman"/>
          <w:sz w:val="24"/>
          <w:szCs w:val="24"/>
        </w:rPr>
        <w:t xml:space="preserve"> příslušné předpisy Evropské unie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E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5BC3A" w14:textId="77777777" w:rsidR="00C07DDC" w:rsidRPr="00FB22B6" w:rsidRDefault="00C07DDC" w:rsidP="00C07DD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CDA48" w14:textId="392A8ACF" w:rsidR="00C07DDC" w:rsidRPr="00476FD8" w:rsidRDefault="00C07DDC" w:rsidP="00C07DDC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Hlavní důvody předložení daného nařízení vlády lze shrnout do tří oblastí, a to: úprava biologických činitelů a práce s nimi vycházející z </w:t>
      </w:r>
      <w:r w:rsidRPr="006D2522">
        <w:rPr>
          <w:rFonts w:ascii="Times New Roman" w:hAnsi="Times New Roman" w:cs="Times New Roman"/>
          <w:sz w:val="24"/>
          <w:szCs w:val="24"/>
        </w:rPr>
        <w:t>EU-Pilot EUP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22">
        <w:rPr>
          <w:rFonts w:ascii="Times New Roman" w:hAnsi="Times New Roman" w:cs="Times New Roman"/>
          <w:sz w:val="24"/>
          <w:szCs w:val="24"/>
        </w:rPr>
        <w:t>(2023)10621</w:t>
      </w:r>
      <w:r>
        <w:rPr>
          <w:rFonts w:ascii="Times New Roman" w:hAnsi="Times New Roman" w:cs="Times New Roman"/>
          <w:sz w:val="24"/>
          <w:szCs w:val="24"/>
        </w:rPr>
        <w:t xml:space="preserve">, úprava bezpečnostních přestávek v práci a nutnost úpravy </w:t>
      </w:r>
      <w:r w:rsidRPr="006D2522">
        <w:rPr>
          <w:rFonts w:ascii="Times New Roman" w:hAnsi="Times New Roman" w:cs="Times New Roman"/>
          <w:sz w:val="24"/>
          <w:szCs w:val="24"/>
        </w:rPr>
        <w:t>bližší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6D2522">
        <w:rPr>
          <w:rFonts w:ascii="Times New Roman" w:hAnsi="Times New Roman" w:cs="Times New Roman"/>
          <w:sz w:val="24"/>
          <w:szCs w:val="24"/>
        </w:rPr>
        <w:t xml:space="preserve"> hygienick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6D2522">
        <w:rPr>
          <w:rFonts w:ascii="Times New Roman" w:hAnsi="Times New Roman" w:cs="Times New Roman"/>
          <w:sz w:val="24"/>
          <w:szCs w:val="24"/>
        </w:rPr>
        <w:t xml:space="preserve"> požadavk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6D2522">
        <w:rPr>
          <w:rFonts w:ascii="Times New Roman" w:hAnsi="Times New Roman" w:cs="Times New Roman"/>
          <w:sz w:val="24"/>
          <w:szCs w:val="24"/>
        </w:rPr>
        <w:t xml:space="preserve"> na osvětlení pracoviště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17D55" w14:textId="77777777" w:rsidR="00BB3D6E" w:rsidRDefault="00BB3D6E" w:rsidP="009057A7">
      <w:pPr>
        <w:widowControl w:val="0"/>
        <w:suppressAutoHyphens/>
        <w:spacing w:after="0" w:line="30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6D76EF7" w14:textId="48E2B0A7" w:rsidR="00784E3F" w:rsidRDefault="00784E3F" w:rsidP="009057A7">
      <w:pPr>
        <w:widowControl w:val="0"/>
        <w:suppressAutoHyphens/>
        <w:spacing w:after="0" w:line="3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 </w:t>
      </w:r>
      <w:r w:rsidRPr="008E241A">
        <w:rPr>
          <w:rFonts w:ascii="Times New Roman" w:eastAsia="Arial" w:hAnsi="Times New Roman" w:cs="Times New Roman"/>
          <w:b/>
          <w:sz w:val="24"/>
          <w:szCs w:val="24"/>
        </w:rPr>
        <w:t>Předpokládaný hospodářský a finanční dopad navrhované právní úpravy na státní rozpočet, ostatní veřejné rozpočty, na podnikatelské prostředí České republiky</w:t>
      </w:r>
    </w:p>
    <w:p w14:paraId="48036DCF" w14:textId="77777777" w:rsidR="00FB22B6" w:rsidRPr="0000737F" w:rsidRDefault="00FB22B6" w:rsidP="00FB22B6">
      <w:pPr>
        <w:pStyle w:val="Textpoznpodarou"/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0E6B7" w14:textId="73BA8AB0" w:rsidR="00801C71" w:rsidRDefault="00C533B7" w:rsidP="00801C71">
      <w:pPr>
        <w:pStyle w:val="odstavec1"/>
        <w:spacing w:before="0" w:line="300" w:lineRule="exact"/>
        <w:ind w:firstLine="0"/>
        <w:rPr>
          <w:szCs w:val="24"/>
        </w:rPr>
      </w:pPr>
      <w:r w:rsidRPr="0000737F">
        <w:rPr>
          <w:szCs w:val="24"/>
        </w:rPr>
        <w:t>Navrhovan</w:t>
      </w:r>
      <w:r>
        <w:rPr>
          <w:szCs w:val="24"/>
        </w:rPr>
        <w:t>á</w:t>
      </w:r>
      <w:r w:rsidRPr="0000737F">
        <w:rPr>
          <w:szCs w:val="24"/>
        </w:rPr>
        <w:t xml:space="preserve"> </w:t>
      </w:r>
      <w:r w:rsidR="00FB22B6" w:rsidRPr="0000737F">
        <w:rPr>
          <w:szCs w:val="24"/>
        </w:rPr>
        <w:t xml:space="preserve">právní </w:t>
      </w:r>
      <w:r w:rsidRPr="0000737F">
        <w:rPr>
          <w:szCs w:val="24"/>
        </w:rPr>
        <w:t>úprav</w:t>
      </w:r>
      <w:r>
        <w:rPr>
          <w:szCs w:val="24"/>
        </w:rPr>
        <w:t>a</w:t>
      </w:r>
      <w:r w:rsidRPr="0000737F">
        <w:rPr>
          <w:szCs w:val="24"/>
        </w:rPr>
        <w:t xml:space="preserve"> nepředstavuj</w:t>
      </w:r>
      <w:r>
        <w:rPr>
          <w:szCs w:val="24"/>
        </w:rPr>
        <w:t>e</w:t>
      </w:r>
      <w:r w:rsidRPr="0000737F">
        <w:rPr>
          <w:szCs w:val="24"/>
        </w:rPr>
        <w:t xml:space="preserve"> </w:t>
      </w:r>
      <w:r w:rsidR="00FB22B6" w:rsidRPr="0000737F">
        <w:rPr>
          <w:szCs w:val="24"/>
        </w:rPr>
        <w:t>zvýšené finanční dopady na státní rozpočet a</w:t>
      </w:r>
      <w:r w:rsidR="001F24E9">
        <w:rPr>
          <w:szCs w:val="24"/>
        </w:rPr>
        <w:t xml:space="preserve">ni </w:t>
      </w:r>
      <w:proofErr w:type="gramStart"/>
      <w:r w:rsidR="001F24E9">
        <w:rPr>
          <w:szCs w:val="24"/>
        </w:rPr>
        <w:t xml:space="preserve">na </w:t>
      </w:r>
      <w:r w:rsidR="00FB22B6" w:rsidRPr="0000737F">
        <w:rPr>
          <w:szCs w:val="24"/>
        </w:rPr>
        <w:t xml:space="preserve"> další</w:t>
      </w:r>
      <w:proofErr w:type="gramEnd"/>
      <w:r w:rsidR="00FB22B6" w:rsidRPr="0000737F">
        <w:rPr>
          <w:szCs w:val="24"/>
        </w:rPr>
        <w:t xml:space="preserve"> veřejné rozpočty.</w:t>
      </w:r>
      <w:r w:rsidR="00801C71" w:rsidRPr="00801C71">
        <w:rPr>
          <w:szCs w:val="24"/>
        </w:rPr>
        <w:t xml:space="preserve"> </w:t>
      </w:r>
      <w:r w:rsidR="00801C71" w:rsidRPr="00512490">
        <w:rPr>
          <w:szCs w:val="24"/>
        </w:rPr>
        <w:t>Realizace uvedeného návrhu</w:t>
      </w:r>
      <w:r w:rsidR="00801C71">
        <w:rPr>
          <w:szCs w:val="24"/>
        </w:rPr>
        <w:t xml:space="preserve"> tedy</w:t>
      </w:r>
      <w:r w:rsidR="00801C71" w:rsidRPr="00512490">
        <w:rPr>
          <w:szCs w:val="24"/>
        </w:rPr>
        <w:t xml:space="preserve"> nebude mít negativní hospodářský ani finanční dopad na státní rozpočet, ani na ostatní veřejné rozpočty.</w:t>
      </w:r>
    </w:p>
    <w:p w14:paraId="765821F4" w14:textId="038FB8D3" w:rsidR="00FB22B6" w:rsidRPr="0000737F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B7B43" w14:textId="77777777" w:rsidR="00FB22B6" w:rsidRPr="00C83141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48949" w14:textId="3184FB97" w:rsidR="00FB22B6" w:rsidRPr="00C83141" w:rsidRDefault="00FB22B6" w:rsidP="00FB22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41">
        <w:rPr>
          <w:rFonts w:ascii="Times New Roman" w:hAnsi="Times New Roman" w:cs="Times New Roman"/>
          <w:sz w:val="24"/>
          <w:szCs w:val="24"/>
        </w:rPr>
        <w:t xml:space="preserve">Navržená řešení vychází především z dosavadní praxe a problémů vzniklých při aplikaci </w:t>
      </w:r>
      <w:r w:rsidR="00C83141" w:rsidRPr="00C83141">
        <w:rPr>
          <w:rFonts w:ascii="Times New Roman" w:hAnsi="Times New Roman" w:cs="Times New Roman"/>
          <w:sz w:val="24"/>
          <w:szCs w:val="24"/>
        </w:rPr>
        <w:t>nařízení vlády</w:t>
      </w:r>
      <w:r w:rsidRPr="00C83141">
        <w:rPr>
          <w:rFonts w:ascii="Times New Roman" w:hAnsi="Times New Roman" w:cs="Times New Roman"/>
          <w:sz w:val="24"/>
          <w:szCs w:val="24"/>
        </w:rPr>
        <w:t>. Návrhy změn nepřinesou žádné zvýšené náklady pro státní rozpočet</w:t>
      </w:r>
      <w:r w:rsidR="00C83141" w:rsidRPr="00C83141">
        <w:rPr>
          <w:rFonts w:ascii="Times New Roman" w:hAnsi="Times New Roman" w:cs="Times New Roman"/>
          <w:sz w:val="24"/>
          <w:szCs w:val="24"/>
        </w:rPr>
        <w:t xml:space="preserve"> ani ostatní veřejné rozpočty</w:t>
      </w:r>
      <w:r w:rsidR="002E6BB1">
        <w:rPr>
          <w:rFonts w:ascii="Times New Roman" w:hAnsi="Times New Roman" w:cs="Times New Roman"/>
          <w:sz w:val="24"/>
          <w:szCs w:val="24"/>
        </w:rPr>
        <w:t xml:space="preserve"> či na podnikatelské prostředí</w:t>
      </w:r>
    </w:p>
    <w:p w14:paraId="1923AE75" w14:textId="77777777" w:rsidR="00FB22B6" w:rsidRPr="00DA3D0D" w:rsidRDefault="00FB22B6" w:rsidP="00FB22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F5C053" w14:textId="77777777" w:rsidR="00FB22B6" w:rsidRDefault="00FB22B6" w:rsidP="00FB22B6">
      <w:pPr>
        <w:pStyle w:val="Textpoznpodarou"/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DDC6EC7" w14:textId="3606BF48" w:rsidR="008A486F" w:rsidRDefault="008A486F" w:rsidP="00FB22B6">
      <w:pPr>
        <w:pStyle w:val="Textpoznpodarou"/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5725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57257">
        <w:rPr>
          <w:rFonts w:ascii="Times New Roman" w:hAnsi="Times New Roman" w:cs="Times New Roman"/>
          <w:b/>
          <w:bCs/>
          <w:sz w:val="24"/>
          <w:szCs w:val="24"/>
        </w:rPr>
        <w:t>Zhodnocení sociálních dopadů, včetně dopadů na specifické skupiny obyvatel, zejména osoby sociálně slabé, osoby se zdravotním postižením a národnostní menšiny, dopadů na ochranu práv dětí a dopadů na životní prostředí</w:t>
      </w:r>
    </w:p>
    <w:p w14:paraId="5300EC3B" w14:textId="3E5A91CB" w:rsidR="00A46822" w:rsidRDefault="00A46822" w:rsidP="00A46822">
      <w:pPr>
        <w:widowControl w:val="0"/>
        <w:tabs>
          <w:tab w:val="left" w:pos="0"/>
        </w:tabs>
        <w:suppressAutoHyphens/>
        <w:spacing w:before="120"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E241A">
        <w:rPr>
          <w:rFonts w:ascii="Times New Roman" w:eastAsia="Arial" w:hAnsi="Times New Roman" w:cs="Times New Roman"/>
          <w:sz w:val="24"/>
          <w:szCs w:val="24"/>
        </w:rPr>
        <w:t>Návrh nařízení vlády nebude mít negativní sociální dopady na pacienty a</w:t>
      </w:r>
      <w:r w:rsidR="009468F5">
        <w:rPr>
          <w:rFonts w:ascii="Times New Roman" w:eastAsia="Arial" w:hAnsi="Times New Roman" w:cs="Times New Roman"/>
          <w:sz w:val="24"/>
          <w:szCs w:val="24"/>
        </w:rPr>
        <w:t>ni na</w:t>
      </w:r>
      <w:r w:rsidRPr="008E241A">
        <w:rPr>
          <w:rFonts w:ascii="Times New Roman" w:eastAsia="Arial" w:hAnsi="Times New Roman" w:cs="Times New Roman"/>
          <w:sz w:val="24"/>
          <w:szCs w:val="24"/>
        </w:rPr>
        <w:t xml:space="preserve"> posuzované osoby, rovněž nebude mít negativní dopad na rodiny a specifické skupiny obyvatel, zejména sociálně slabé, osoby se zdravotním postižením a národnostní menšiny.</w:t>
      </w:r>
    </w:p>
    <w:p w14:paraId="5462BC30" w14:textId="77777777" w:rsidR="00A46822" w:rsidRPr="008E241A" w:rsidRDefault="00A46822" w:rsidP="00A46822">
      <w:pPr>
        <w:widowControl w:val="0"/>
        <w:tabs>
          <w:tab w:val="left" w:pos="0"/>
        </w:tabs>
        <w:suppressAutoHyphens/>
        <w:spacing w:before="120"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7379C9" w14:textId="77777777" w:rsidR="00A46822" w:rsidRPr="00BC20AF" w:rsidRDefault="00A46822" w:rsidP="00A46822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41A">
        <w:rPr>
          <w:rFonts w:ascii="Times New Roman" w:eastAsia="Times New Roman" w:hAnsi="Times New Roman" w:cs="Times New Roman"/>
          <w:sz w:val="24"/>
          <w:szCs w:val="24"/>
        </w:rPr>
        <w:t>Návrh nemá dopady na životní prostředí.</w:t>
      </w:r>
    </w:p>
    <w:p w14:paraId="5EDAF850" w14:textId="77777777" w:rsidR="00A46822" w:rsidRPr="00DA3D0D" w:rsidRDefault="00A46822" w:rsidP="00FB22B6">
      <w:pPr>
        <w:pStyle w:val="Textpoznpodarou"/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AD1421" w14:textId="07E8AB9F" w:rsidR="00A46822" w:rsidRPr="008E241A" w:rsidRDefault="008A486F" w:rsidP="00A46822">
      <w:pPr>
        <w:widowControl w:val="0"/>
        <w:suppressAutoHyphens/>
        <w:spacing w:before="120" w:after="0" w:line="30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A46822" w:rsidRPr="008E241A">
        <w:rPr>
          <w:rFonts w:ascii="Times New Roman" w:eastAsia="Arial" w:hAnsi="Times New Roman" w:cs="Times New Roman"/>
          <w:b/>
          <w:sz w:val="24"/>
          <w:szCs w:val="24"/>
        </w:rPr>
        <w:t xml:space="preserve">. Zhodnocení současného stavu a dopadů navrhovaného řešení ve vztahu k zákazu diskriminace a ve vztahu k rovnosti mužů a žen </w:t>
      </w:r>
    </w:p>
    <w:p w14:paraId="56EA0BB5" w14:textId="77777777" w:rsidR="00A46822" w:rsidRPr="00BC20AF" w:rsidRDefault="00A46822" w:rsidP="00A46822">
      <w:pPr>
        <w:widowControl w:val="0"/>
        <w:suppressAutoHyphens/>
        <w:spacing w:before="120" w:after="0" w:line="300" w:lineRule="auto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8E241A">
        <w:rPr>
          <w:rFonts w:ascii="Times New Roman" w:eastAsia="Arial" w:hAnsi="Times New Roman" w:cs="Times New Roman"/>
          <w:sz w:val="24"/>
          <w:szCs w:val="24"/>
        </w:rPr>
        <w:t>Navrhovaná úprava nebude porušovat nebo jinak se dotýkat zásad zákazu diskriminace. Současně není úpravou, která by porušovala nebo se jinak dotýkala zásady rovnosti mužů a žen.</w:t>
      </w:r>
      <w:r w:rsidRPr="008E241A">
        <w:rPr>
          <w:rFonts w:ascii="Times New Roman" w:eastAsia="Arial" w:hAnsi="Times New Roman" w:cs="Times New Roman"/>
          <w:sz w:val="24"/>
          <w:szCs w:val="24"/>
          <w:u w:val="single"/>
        </w:rPr>
        <w:t xml:space="preserve"> </w:t>
      </w:r>
    </w:p>
    <w:p w14:paraId="7F2AF3BA" w14:textId="15A0C7FF" w:rsidR="00FB22B6" w:rsidRPr="00C83141" w:rsidRDefault="00FB22B6" w:rsidP="0047017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53563" w14:textId="77777777" w:rsidR="00FB22B6" w:rsidRPr="00BC2E1B" w:rsidRDefault="00FB22B6" w:rsidP="00FB22B6">
      <w:pPr>
        <w:pStyle w:val="Textpoznpodarou"/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DD288" w14:textId="32E3862A" w:rsidR="00FB22B6" w:rsidRPr="00BC2E1B" w:rsidRDefault="005B2ABC" w:rsidP="00FB22B6">
      <w:pPr>
        <w:pStyle w:val="Textpoznpodarou"/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86F">
        <w:rPr>
          <w:rFonts w:ascii="Times New Roman" w:hAnsi="Times New Roman" w:cs="Times New Roman"/>
          <w:b/>
          <w:sz w:val="24"/>
          <w:szCs w:val="24"/>
        </w:rPr>
        <w:t>8</w:t>
      </w:r>
      <w:r w:rsidR="00FB22B6" w:rsidRPr="00BC2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22B6" w:rsidRPr="00BC2E1B">
        <w:rPr>
          <w:rFonts w:ascii="Times New Roman" w:hAnsi="Times New Roman" w:cs="Times New Roman"/>
          <w:b/>
          <w:sz w:val="24"/>
          <w:szCs w:val="24"/>
        </w:rPr>
        <w:tab/>
        <w:t>Zhodnocení dopadů navrhovaného řešení ve vztahu k ochraně soukromí a osobních údajů</w:t>
      </w:r>
    </w:p>
    <w:p w14:paraId="7B3294C1" w14:textId="77777777" w:rsidR="00FB22B6" w:rsidRPr="00BC2E1B" w:rsidRDefault="00FB22B6" w:rsidP="00FB22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8198C9" w14:textId="6EB562B1" w:rsidR="00FB22B6" w:rsidRPr="00BC2E1B" w:rsidRDefault="00FB22B6" w:rsidP="00FB22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>Návrh novel</w:t>
      </w:r>
      <w:r w:rsidR="00BC2E1B"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C2E1B"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>nařízení vlády</w:t>
      </w:r>
      <w:r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nevztahuj</w:t>
      </w:r>
      <w:r w:rsidR="00BC2E1B"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 ochraně osobních údajů, neobsahuj</w:t>
      </w:r>
      <w:r w:rsidR="00BC2E1B"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nové návrhy zpracování osobních údajů ani nenavazuj</w:t>
      </w:r>
      <w:r w:rsidR="00BC2E1B"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stávající nebo připravovaná zpracování osobních údajů. </w:t>
      </w:r>
    </w:p>
    <w:p w14:paraId="01E3FF69" w14:textId="77777777" w:rsidR="00FB22B6" w:rsidRPr="00DA3D0D" w:rsidRDefault="00FB22B6" w:rsidP="00FB22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22C9FE2B" w14:textId="77777777" w:rsidR="00FB22B6" w:rsidRPr="00BC2E1B" w:rsidRDefault="00FB22B6" w:rsidP="00FB22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2E1B">
        <w:rPr>
          <w:rFonts w:ascii="Times New Roman" w:eastAsia="Calibri" w:hAnsi="Times New Roman" w:cs="Times New Roman"/>
          <w:color w:val="000000"/>
          <w:sz w:val="24"/>
          <w:szCs w:val="24"/>
        </w:rPr>
        <w:t>Nově navrhovaná právní úprava nemění dosavadní praxi v oblasti ochrany soukromí a osobních údajů a je v souladu se zákonem o ochraně osobních údajů. Z hlediska ochrany soukromí a osobních údajů nebyly v této oblasti identifikovány žádné negativní dopady.</w:t>
      </w:r>
    </w:p>
    <w:p w14:paraId="3A2872BE" w14:textId="77777777" w:rsidR="00FB22B6" w:rsidRPr="00DA3D0D" w:rsidRDefault="00FB22B6" w:rsidP="00FB22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C6B991" w14:textId="2FED2513" w:rsidR="00FB22B6" w:rsidRPr="002E6AF3" w:rsidRDefault="005B2ABC" w:rsidP="00FB22B6">
      <w:pPr>
        <w:pStyle w:val="Textpoznpodarou"/>
        <w:tabs>
          <w:tab w:val="left" w:pos="42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86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B22B6" w:rsidRPr="002E6A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22B6" w:rsidRPr="002E6AF3">
        <w:rPr>
          <w:rFonts w:ascii="Times New Roman" w:hAnsi="Times New Roman" w:cs="Times New Roman"/>
          <w:b/>
          <w:sz w:val="24"/>
          <w:szCs w:val="24"/>
        </w:rPr>
        <w:t>Zhodnocení korupčních rizik</w:t>
      </w:r>
    </w:p>
    <w:p w14:paraId="2EC9C1A6" w14:textId="77777777" w:rsidR="00FB22B6" w:rsidRPr="00DA3D0D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8AFC00" w14:textId="566789DB" w:rsidR="002E6AF3" w:rsidRPr="00E352A7" w:rsidRDefault="002E6AF3" w:rsidP="002E6AF3">
      <w:pPr>
        <w:rPr>
          <w:rFonts w:ascii="Times New Roman" w:eastAsia="Arial" w:hAnsi="Times New Roman" w:cs="Times New Roman"/>
          <w:sz w:val="24"/>
          <w:szCs w:val="24"/>
        </w:rPr>
      </w:pPr>
      <w:r w:rsidRPr="008E241A">
        <w:rPr>
          <w:rFonts w:ascii="Times New Roman" w:eastAsia="Arial" w:hAnsi="Times New Roman" w:cs="Times New Roman"/>
          <w:sz w:val="24"/>
          <w:szCs w:val="24"/>
        </w:rPr>
        <w:t xml:space="preserve">Navrhovaná právní úprava s sebou </w:t>
      </w:r>
      <w:r w:rsidR="0005577D">
        <w:rPr>
          <w:rFonts w:ascii="Times New Roman" w:eastAsia="Arial" w:hAnsi="Times New Roman" w:cs="Times New Roman"/>
          <w:sz w:val="24"/>
          <w:szCs w:val="24"/>
        </w:rPr>
        <w:t xml:space="preserve">nepřináší </w:t>
      </w:r>
      <w:r w:rsidRPr="008E241A">
        <w:rPr>
          <w:rFonts w:ascii="Times New Roman" w:eastAsia="Arial" w:hAnsi="Times New Roman" w:cs="Times New Roman"/>
          <w:sz w:val="24"/>
          <w:szCs w:val="24"/>
        </w:rPr>
        <w:t xml:space="preserve">zvýšení korupčního rizika.   </w:t>
      </w:r>
    </w:p>
    <w:p w14:paraId="175425EC" w14:textId="77777777" w:rsidR="00FB22B6" w:rsidRPr="00DA3D0D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3F8450" w14:textId="15199E35" w:rsidR="00FB22B6" w:rsidRPr="00FF74C4" w:rsidRDefault="005B2ABC" w:rsidP="00FB22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86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22B6" w:rsidRPr="00FF74C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22B6" w:rsidRPr="00FF74C4">
        <w:rPr>
          <w:rFonts w:ascii="Times New Roman" w:hAnsi="Times New Roman" w:cs="Times New Roman"/>
          <w:b/>
          <w:sz w:val="24"/>
          <w:szCs w:val="24"/>
        </w:rPr>
        <w:t>Zhodnocení dopadů na bezpečnost nebo obranu státu</w:t>
      </w:r>
    </w:p>
    <w:p w14:paraId="29C39FAB" w14:textId="77777777" w:rsidR="00FB22B6" w:rsidRPr="00FF74C4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13C36" w14:textId="0FFA6270" w:rsidR="00FB22B6" w:rsidRPr="00FF74C4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C4">
        <w:rPr>
          <w:rFonts w:ascii="Times New Roman" w:hAnsi="Times New Roman" w:cs="Times New Roman"/>
          <w:sz w:val="24"/>
          <w:szCs w:val="24"/>
        </w:rPr>
        <w:t>Návrh novel</w:t>
      </w:r>
      <w:r w:rsidR="00FF74C4" w:rsidRPr="00FF74C4">
        <w:rPr>
          <w:rFonts w:ascii="Times New Roman" w:hAnsi="Times New Roman" w:cs="Times New Roman"/>
          <w:sz w:val="24"/>
          <w:szCs w:val="24"/>
        </w:rPr>
        <w:t>y</w:t>
      </w:r>
      <w:r w:rsidRPr="00FF74C4">
        <w:rPr>
          <w:rFonts w:ascii="Times New Roman" w:hAnsi="Times New Roman" w:cs="Times New Roman"/>
          <w:sz w:val="24"/>
          <w:szCs w:val="24"/>
        </w:rPr>
        <w:t xml:space="preserve"> </w:t>
      </w:r>
      <w:r w:rsidR="00FF74C4" w:rsidRPr="00FF74C4">
        <w:rPr>
          <w:rFonts w:ascii="Times New Roman" w:hAnsi="Times New Roman" w:cs="Times New Roman"/>
          <w:sz w:val="24"/>
          <w:szCs w:val="24"/>
        </w:rPr>
        <w:t>nařízení vlády</w:t>
      </w:r>
      <w:r w:rsidRPr="00FF74C4">
        <w:rPr>
          <w:rFonts w:ascii="Times New Roman" w:hAnsi="Times New Roman" w:cs="Times New Roman"/>
          <w:sz w:val="24"/>
          <w:szCs w:val="24"/>
        </w:rPr>
        <w:t xml:space="preserve"> nem</w:t>
      </w:r>
      <w:r w:rsidR="00FF74C4" w:rsidRPr="00FF74C4">
        <w:rPr>
          <w:rFonts w:ascii="Times New Roman" w:hAnsi="Times New Roman" w:cs="Times New Roman"/>
          <w:sz w:val="24"/>
          <w:szCs w:val="24"/>
        </w:rPr>
        <w:t>á</w:t>
      </w:r>
      <w:r w:rsidRPr="00FF74C4">
        <w:rPr>
          <w:rFonts w:ascii="Times New Roman" w:hAnsi="Times New Roman" w:cs="Times New Roman"/>
          <w:sz w:val="24"/>
          <w:szCs w:val="24"/>
        </w:rPr>
        <w:t xml:space="preserve"> žádný negativní dopad na bezpečnost nebo obranu státu. </w:t>
      </w:r>
    </w:p>
    <w:p w14:paraId="05FFBC56" w14:textId="77777777" w:rsidR="00FB22B6" w:rsidRPr="00DA3D0D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E8E51E" w14:textId="77777777" w:rsidR="00FB22B6" w:rsidRPr="00FF74C4" w:rsidRDefault="00FB22B6" w:rsidP="00FB22B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A7A62" w14:textId="654DA260" w:rsidR="00FB22B6" w:rsidRPr="00FF74C4" w:rsidRDefault="005B2ABC" w:rsidP="00FB22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A486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22B6" w:rsidRPr="00FF7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5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Zhodnocení dopadů na rodiny, zejména s ohledem na plnění funkcí rodiny, s ohledem na počet vyživovaných členů, na případnou přítomnost hendikepovaných členů a rodiny samoživitelů, rodiny se třemi a více dětmi a další specifické životní situace, dále s ohledem na posílení integrity a stability rodiny a posílení rodinné harmonie, lepší rovnováhy mezi prací a rodinou a na posílení mezigeneračních a širších příbuzenských vztahů </w:t>
      </w:r>
    </w:p>
    <w:p w14:paraId="3225A3D8" w14:textId="77777777" w:rsidR="00FB22B6" w:rsidRPr="00FF74C4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CB60D" w14:textId="77777777" w:rsidR="005B2ABC" w:rsidRDefault="005B2ABC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0F79C" w14:textId="7EDEB913" w:rsidR="005B2ABC" w:rsidRPr="00DA3D0D" w:rsidRDefault="005B2ABC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Navrhovaná úprava nebude mít dopady na rodiny, funkci rodiny, hendikepované členy a rodiny samoživitelů ani na rodiny se třemi a více dětmi. Navrhovaná úprava nebude mít dopad na specifické životní situace i stabilitu rodiny.</w:t>
      </w:r>
    </w:p>
    <w:p w14:paraId="76C85AB9" w14:textId="77777777" w:rsidR="00FB22B6" w:rsidRPr="00DA3D0D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4D565A" w14:textId="77777777" w:rsidR="00FB22B6" w:rsidRPr="00FF74C4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6B14E" w14:textId="4ACFCE49" w:rsidR="00FB22B6" w:rsidRPr="00FF74C4" w:rsidRDefault="00187867" w:rsidP="00FB22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A486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22B6" w:rsidRPr="00FF74C4">
        <w:rPr>
          <w:rFonts w:ascii="Times New Roman" w:hAnsi="Times New Roman" w:cs="Times New Roman"/>
          <w:b/>
          <w:bCs/>
          <w:sz w:val="24"/>
          <w:szCs w:val="24"/>
        </w:rPr>
        <w:t>Zhodnocení územních dopadů a dopadů na územní samosprávné celky</w:t>
      </w:r>
    </w:p>
    <w:p w14:paraId="16FCEBDC" w14:textId="77777777" w:rsidR="00FB22B6" w:rsidRPr="00FF74C4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10752" w14:textId="6A489116" w:rsidR="00FB22B6" w:rsidRPr="00FF74C4" w:rsidRDefault="00FF74C4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C4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FF74C4">
        <w:rPr>
          <w:rFonts w:ascii="Times New Roman" w:hAnsi="Times New Roman" w:cs="Times New Roman"/>
          <w:sz w:val="24"/>
          <w:szCs w:val="24"/>
        </w:rPr>
        <w:t xml:space="preserve">neočekává dopady na rozvoj územních samosprávných celků. Návrhy změn nepředpokládají dopady na územní samosprávné celky. </w:t>
      </w:r>
    </w:p>
    <w:p w14:paraId="5CB2E207" w14:textId="77777777" w:rsidR="00FB22B6" w:rsidRPr="00DA3D0D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960F84" w14:textId="77777777" w:rsidR="00FB22B6" w:rsidRPr="00FF74C4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E2725" w14:textId="0BB626B1" w:rsidR="00FB22B6" w:rsidRPr="00FF74C4" w:rsidRDefault="00187867" w:rsidP="00FB22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A486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22B6" w:rsidRPr="00FF7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5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Zhodnocení souladu navrhovaného řešení se zásadami tvorby digitálně přívětivé legislativy, včetně zhodnocení rizika vyloučení nebo omezení možnosti přístupu specifických skupin osob k některým službám v důsledku digitalizace jejich poskytování (digitální vyloučení)</w:t>
      </w:r>
    </w:p>
    <w:p w14:paraId="7D90C1BB" w14:textId="77777777" w:rsidR="00FB22B6" w:rsidRPr="00FF74C4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5168D" w14:textId="77777777" w:rsidR="00FB22B6" w:rsidRPr="00FF74C4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4C4">
        <w:rPr>
          <w:rFonts w:ascii="Times New Roman" w:hAnsi="Times New Roman" w:cs="Times New Roman"/>
          <w:b/>
          <w:iCs/>
          <w:sz w:val="24"/>
          <w:szCs w:val="24"/>
        </w:rPr>
        <w:t xml:space="preserve">Budování přednostně digitálních služeb (princip </w:t>
      </w:r>
      <w:proofErr w:type="spellStart"/>
      <w:r w:rsidRPr="00FF74C4">
        <w:rPr>
          <w:rFonts w:ascii="Times New Roman" w:hAnsi="Times New Roman" w:cs="Times New Roman"/>
          <w:b/>
          <w:iCs/>
          <w:sz w:val="24"/>
          <w:szCs w:val="24"/>
        </w:rPr>
        <w:t>digital</w:t>
      </w:r>
      <w:proofErr w:type="spellEnd"/>
      <w:r w:rsidRPr="00FF74C4">
        <w:rPr>
          <w:rFonts w:ascii="Times New Roman" w:hAnsi="Times New Roman" w:cs="Times New Roman"/>
          <w:b/>
          <w:iCs/>
          <w:sz w:val="24"/>
          <w:szCs w:val="24"/>
        </w:rPr>
        <w:t xml:space="preserve"> by default)</w:t>
      </w:r>
    </w:p>
    <w:p w14:paraId="021EDD31" w14:textId="0D52273D" w:rsidR="00FB22B6" w:rsidRPr="00FF74C4" w:rsidRDefault="00FF74C4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C4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FF74C4">
        <w:rPr>
          <w:rFonts w:ascii="Times New Roman" w:hAnsi="Times New Roman" w:cs="Times New Roman"/>
          <w:sz w:val="24"/>
          <w:szCs w:val="24"/>
        </w:rPr>
        <w:t xml:space="preserve">věcně nezasahuje do problematiky vztahující se k principu </w:t>
      </w:r>
      <w:proofErr w:type="spellStart"/>
      <w:r w:rsidR="00FB22B6" w:rsidRPr="00FF74C4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="00FB22B6" w:rsidRPr="00FF74C4">
        <w:rPr>
          <w:rFonts w:ascii="Times New Roman" w:hAnsi="Times New Roman" w:cs="Times New Roman"/>
          <w:i/>
          <w:iCs/>
          <w:sz w:val="24"/>
          <w:szCs w:val="24"/>
        </w:rPr>
        <w:t xml:space="preserve"> by default.</w:t>
      </w:r>
      <w:r w:rsidR="00FB22B6" w:rsidRPr="00FF7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85C97" w14:textId="77777777" w:rsidR="00FB22B6" w:rsidRPr="002003A3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0B1D" w14:textId="77777777" w:rsidR="00FB22B6" w:rsidRPr="002003A3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3A3">
        <w:rPr>
          <w:rFonts w:ascii="Times New Roman" w:hAnsi="Times New Roman" w:cs="Times New Roman"/>
          <w:b/>
          <w:iCs/>
          <w:sz w:val="24"/>
          <w:szCs w:val="24"/>
        </w:rPr>
        <w:t xml:space="preserve">Maximální opakovatelnost a znovu použitelnost údajů a služeb (princip </w:t>
      </w:r>
      <w:proofErr w:type="spellStart"/>
      <w:r w:rsidRPr="002003A3">
        <w:rPr>
          <w:rFonts w:ascii="Times New Roman" w:hAnsi="Times New Roman" w:cs="Times New Roman"/>
          <w:b/>
          <w:iCs/>
          <w:sz w:val="24"/>
          <w:szCs w:val="24"/>
        </w:rPr>
        <w:t>only</w:t>
      </w:r>
      <w:proofErr w:type="spellEnd"/>
      <w:r w:rsidRPr="002003A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003A3">
        <w:rPr>
          <w:rFonts w:ascii="Times New Roman" w:hAnsi="Times New Roman" w:cs="Times New Roman"/>
          <w:b/>
          <w:iCs/>
          <w:sz w:val="24"/>
          <w:szCs w:val="24"/>
        </w:rPr>
        <w:t>once</w:t>
      </w:r>
      <w:proofErr w:type="spellEnd"/>
      <w:r w:rsidRPr="002003A3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0A8247C" w14:textId="77777777" w:rsidR="00FB22B6" w:rsidRPr="002003A3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3">
        <w:rPr>
          <w:rFonts w:ascii="Times New Roman" w:hAnsi="Times New Roman" w:cs="Times New Roman"/>
          <w:sz w:val="24"/>
          <w:szCs w:val="24"/>
        </w:rPr>
        <w:t xml:space="preserve">Cílem principu </w:t>
      </w:r>
      <w:proofErr w:type="spellStart"/>
      <w:r w:rsidRPr="002003A3">
        <w:rPr>
          <w:rFonts w:ascii="Times New Roman" w:hAnsi="Times New Roman" w:cs="Times New Roman"/>
          <w:i/>
          <w:iCs/>
          <w:sz w:val="24"/>
          <w:szCs w:val="24"/>
        </w:rPr>
        <w:t>only</w:t>
      </w:r>
      <w:proofErr w:type="spellEnd"/>
      <w:r w:rsidRPr="00200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03A3">
        <w:rPr>
          <w:rFonts w:ascii="Times New Roman" w:hAnsi="Times New Roman" w:cs="Times New Roman"/>
          <w:i/>
          <w:iCs/>
          <w:sz w:val="24"/>
          <w:szCs w:val="24"/>
        </w:rPr>
        <w:t>once</w:t>
      </w:r>
      <w:proofErr w:type="spellEnd"/>
      <w:r w:rsidRPr="002003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03A3">
        <w:rPr>
          <w:rFonts w:ascii="Times New Roman" w:hAnsi="Times New Roman" w:cs="Times New Roman"/>
          <w:sz w:val="24"/>
          <w:szCs w:val="24"/>
        </w:rPr>
        <w:t>je využívání údajů evidovaných veřejnou správou tak, aby nemusely být znovu dokládány, sbírány a evidovány za aktivní zátěže subjektu údajů. Do tohoto principu návrh nikterak nezasahuje.</w:t>
      </w:r>
    </w:p>
    <w:p w14:paraId="5D8C97CA" w14:textId="77777777" w:rsidR="00FB22B6" w:rsidRPr="002003A3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80C0D" w14:textId="77777777" w:rsidR="00FB22B6" w:rsidRPr="002003A3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3A3">
        <w:rPr>
          <w:rFonts w:ascii="Times New Roman" w:hAnsi="Times New Roman" w:cs="Times New Roman"/>
          <w:b/>
          <w:iCs/>
          <w:sz w:val="24"/>
          <w:szCs w:val="24"/>
        </w:rPr>
        <w:t xml:space="preserve">Budování služeb přístupných a použitelných pro všechny, včetně osob se zdravotním postižením (princip </w:t>
      </w:r>
      <w:proofErr w:type="spellStart"/>
      <w:r w:rsidRPr="002003A3">
        <w:rPr>
          <w:rFonts w:ascii="Times New Roman" w:hAnsi="Times New Roman" w:cs="Times New Roman"/>
          <w:b/>
          <w:iCs/>
          <w:sz w:val="24"/>
          <w:szCs w:val="24"/>
        </w:rPr>
        <w:t>governance</w:t>
      </w:r>
      <w:proofErr w:type="spellEnd"/>
      <w:r w:rsidRPr="002003A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003A3">
        <w:rPr>
          <w:rFonts w:ascii="Times New Roman" w:hAnsi="Times New Roman" w:cs="Times New Roman"/>
          <w:b/>
          <w:iCs/>
          <w:sz w:val="24"/>
          <w:szCs w:val="24"/>
        </w:rPr>
        <w:t>accessibility</w:t>
      </w:r>
      <w:proofErr w:type="spellEnd"/>
      <w:r w:rsidRPr="002003A3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4AE34F99" w14:textId="20A8907D" w:rsidR="00FB22B6" w:rsidRPr="002003A3" w:rsidRDefault="007C6549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3">
        <w:rPr>
          <w:rFonts w:ascii="Times New Roman" w:hAnsi="Times New Roman" w:cs="Times New Roman"/>
          <w:sz w:val="24"/>
          <w:szCs w:val="24"/>
        </w:rPr>
        <w:t>Návrh</w:t>
      </w:r>
      <w:r w:rsidR="00400FC1">
        <w:rPr>
          <w:rFonts w:ascii="Times New Roman" w:hAnsi="Times New Roman" w:cs="Times New Roman"/>
          <w:sz w:val="24"/>
          <w:szCs w:val="24"/>
        </w:rPr>
        <w:t>em</w:t>
      </w:r>
      <w:r w:rsidRPr="002003A3">
        <w:rPr>
          <w:rFonts w:ascii="Times New Roman" w:hAnsi="Times New Roman" w:cs="Times New Roman"/>
          <w:sz w:val="24"/>
          <w:szCs w:val="24"/>
        </w:rPr>
        <w:t xml:space="preserve"> novely nařízení vlády </w:t>
      </w:r>
      <w:r w:rsidR="00FB22B6" w:rsidRPr="002003A3">
        <w:rPr>
          <w:rFonts w:ascii="Times New Roman" w:hAnsi="Times New Roman" w:cs="Times New Roman"/>
          <w:sz w:val="24"/>
          <w:szCs w:val="24"/>
        </w:rPr>
        <w:t>nedochází k diskriminaci osob se zdravotním postižením a</w:t>
      </w:r>
      <w:r w:rsidR="00D83252">
        <w:rPr>
          <w:rFonts w:ascii="Times New Roman" w:hAnsi="Times New Roman" w:cs="Times New Roman"/>
          <w:sz w:val="24"/>
          <w:szCs w:val="24"/>
        </w:rPr>
        <w:t> </w:t>
      </w:r>
      <w:r w:rsidR="00FB22B6" w:rsidRPr="002003A3">
        <w:rPr>
          <w:rFonts w:ascii="Times New Roman" w:hAnsi="Times New Roman" w:cs="Times New Roman"/>
          <w:sz w:val="24"/>
          <w:szCs w:val="24"/>
        </w:rPr>
        <w:t>systémy a služby veřejné správy pro ně budou zcela standardně přístupné.</w:t>
      </w:r>
    </w:p>
    <w:p w14:paraId="0D718A9C" w14:textId="77777777" w:rsidR="00FB22B6" w:rsidRPr="002003A3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F36F8" w14:textId="77777777" w:rsidR="00FB22B6" w:rsidRPr="002003A3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3A3">
        <w:rPr>
          <w:rFonts w:ascii="Times New Roman" w:hAnsi="Times New Roman" w:cs="Times New Roman"/>
          <w:b/>
          <w:iCs/>
          <w:sz w:val="24"/>
          <w:szCs w:val="24"/>
        </w:rPr>
        <w:t>Sdílené služby veřejné správy</w:t>
      </w:r>
    </w:p>
    <w:p w14:paraId="294CC00E" w14:textId="3A5E2361" w:rsidR="00FB22B6" w:rsidRPr="002003A3" w:rsidRDefault="007C6549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3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2003A3">
        <w:rPr>
          <w:rFonts w:ascii="Times New Roman" w:hAnsi="Times New Roman" w:cs="Times New Roman"/>
          <w:sz w:val="24"/>
          <w:szCs w:val="24"/>
        </w:rPr>
        <w:t xml:space="preserve">plně respektuje princip sdílených služeb veřejné správy a věcně </w:t>
      </w:r>
      <w:r w:rsidR="00FB22B6" w:rsidRPr="002003A3">
        <w:rPr>
          <w:rFonts w:ascii="Times New Roman" w:hAnsi="Times New Roman" w:cs="Times New Roman"/>
          <w:sz w:val="24"/>
          <w:szCs w:val="24"/>
        </w:rPr>
        <w:br/>
        <w:t xml:space="preserve">do tohoto principu nikterak nezasahuje. </w:t>
      </w:r>
    </w:p>
    <w:p w14:paraId="0070AB83" w14:textId="77777777" w:rsidR="00FB22B6" w:rsidRPr="002003A3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06C92" w14:textId="77777777" w:rsidR="00FB22B6" w:rsidRPr="002003A3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3A3">
        <w:rPr>
          <w:rFonts w:ascii="Times New Roman" w:hAnsi="Times New Roman" w:cs="Times New Roman"/>
          <w:b/>
          <w:iCs/>
          <w:sz w:val="24"/>
          <w:szCs w:val="24"/>
        </w:rPr>
        <w:t>Konsolidace a propojování informačních systémů veřejné správy</w:t>
      </w:r>
    </w:p>
    <w:p w14:paraId="5D020EC8" w14:textId="6553022F" w:rsidR="00FB22B6" w:rsidRPr="002003A3" w:rsidRDefault="007C6549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3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2003A3">
        <w:rPr>
          <w:rFonts w:ascii="Times New Roman" w:hAnsi="Times New Roman" w:cs="Times New Roman"/>
          <w:sz w:val="24"/>
          <w:szCs w:val="24"/>
        </w:rPr>
        <w:t xml:space="preserve">věcně do tohoto principu nikterak nezasahuje.  </w:t>
      </w:r>
    </w:p>
    <w:p w14:paraId="32FDE9B2" w14:textId="77777777" w:rsidR="00FB22B6" w:rsidRPr="002003A3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B1FBD" w14:textId="77777777" w:rsidR="00FB22B6" w:rsidRPr="002003A3" w:rsidRDefault="00FB22B6" w:rsidP="00FB22B6">
      <w:pPr>
        <w:keepNext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003A3">
        <w:rPr>
          <w:rFonts w:ascii="Times New Roman" w:hAnsi="Times New Roman" w:cs="Times New Roman"/>
          <w:b/>
          <w:iCs/>
          <w:sz w:val="24"/>
          <w:szCs w:val="24"/>
        </w:rPr>
        <w:t xml:space="preserve">Mezinárodní interoperabilita – budování služeb propojitelných </w:t>
      </w:r>
      <w:r w:rsidRPr="002003A3">
        <w:rPr>
          <w:rFonts w:ascii="Times New Roman" w:hAnsi="Times New Roman" w:cs="Times New Roman"/>
          <w:b/>
          <w:iCs/>
          <w:sz w:val="24"/>
          <w:szCs w:val="24"/>
        </w:rPr>
        <w:br/>
        <w:t>a využitelných v evropském prostoru</w:t>
      </w:r>
    </w:p>
    <w:p w14:paraId="29FD79D7" w14:textId="662894DD" w:rsidR="00FB22B6" w:rsidRPr="006F31AF" w:rsidRDefault="007C6549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AF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6F31AF">
        <w:rPr>
          <w:rFonts w:ascii="Times New Roman" w:hAnsi="Times New Roman" w:cs="Times New Roman"/>
          <w:sz w:val="24"/>
          <w:szCs w:val="24"/>
        </w:rPr>
        <w:t xml:space="preserve">věcně do tohoto principu nikterak nezasahuje.  </w:t>
      </w:r>
    </w:p>
    <w:p w14:paraId="7C380152" w14:textId="77777777" w:rsidR="00FB22B6" w:rsidRPr="006F31AF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7AD4A" w14:textId="77777777" w:rsidR="00FB22B6" w:rsidRPr="006F31AF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31AF">
        <w:rPr>
          <w:rFonts w:ascii="Times New Roman" w:hAnsi="Times New Roman" w:cs="Times New Roman"/>
          <w:b/>
          <w:iCs/>
          <w:sz w:val="24"/>
          <w:szCs w:val="24"/>
        </w:rPr>
        <w:t>Ochrana osobních údajů v míře umožňující kvalitní služby (GDPR)</w:t>
      </w:r>
    </w:p>
    <w:p w14:paraId="54DFA528" w14:textId="2B710D93" w:rsidR="00FB22B6" w:rsidRPr="006F31AF" w:rsidRDefault="007C6549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AF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6F31AF">
        <w:rPr>
          <w:rFonts w:ascii="Times New Roman" w:hAnsi="Times New Roman" w:cs="Times New Roman"/>
          <w:sz w:val="24"/>
          <w:szCs w:val="24"/>
        </w:rPr>
        <w:t xml:space="preserve">věcně do tohoto principu nikterak nezasahuje.  </w:t>
      </w:r>
    </w:p>
    <w:p w14:paraId="22CFCEFE" w14:textId="77777777" w:rsidR="00FB22B6" w:rsidRPr="006F31AF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4A97D" w14:textId="77777777" w:rsidR="00FB22B6" w:rsidRPr="006F31AF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31AF">
        <w:rPr>
          <w:rFonts w:ascii="Times New Roman" w:hAnsi="Times New Roman" w:cs="Times New Roman"/>
          <w:b/>
          <w:sz w:val="24"/>
          <w:szCs w:val="24"/>
        </w:rPr>
        <w:t xml:space="preserve">Otevřenost a </w:t>
      </w:r>
      <w:r w:rsidRPr="006F31AF">
        <w:rPr>
          <w:rFonts w:ascii="Times New Roman" w:hAnsi="Times New Roman" w:cs="Times New Roman"/>
          <w:b/>
          <w:iCs/>
          <w:sz w:val="24"/>
          <w:szCs w:val="24"/>
        </w:rPr>
        <w:t>transparentnost</w:t>
      </w:r>
      <w:r w:rsidRPr="006F31AF">
        <w:rPr>
          <w:rFonts w:ascii="Times New Roman" w:hAnsi="Times New Roman" w:cs="Times New Roman"/>
          <w:b/>
          <w:sz w:val="24"/>
          <w:szCs w:val="24"/>
        </w:rPr>
        <w:t xml:space="preserve"> včetně otevřených dat a služeb (princip </w:t>
      </w:r>
      <w:r w:rsidRPr="006F31AF">
        <w:rPr>
          <w:rFonts w:ascii="Times New Roman" w:hAnsi="Times New Roman" w:cs="Times New Roman"/>
          <w:b/>
          <w:sz w:val="24"/>
          <w:szCs w:val="24"/>
          <w:lang w:val="en-GB"/>
        </w:rPr>
        <w:t>open government</w:t>
      </w:r>
      <w:r w:rsidRPr="006F31AF">
        <w:rPr>
          <w:rFonts w:ascii="Times New Roman" w:hAnsi="Times New Roman" w:cs="Times New Roman"/>
          <w:b/>
          <w:sz w:val="24"/>
          <w:szCs w:val="24"/>
        </w:rPr>
        <w:t>)</w:t>
      </w:r>
    </w:p>
    <w:p w14:paraId="7A26D143" w14:textId="3CCC4619" w:rsidR="00FB22B6" w:rsidRPr="006F31AF" w:rsidRDefault="007C6549" w:rsidP="00FB22B6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F31AF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6F31AF">
        <w:rPr>
          <w:rFonts w:ascii="Times New Roman" w:hAnsi="Times New Roman" w:cs="Times New Roman"/>
          <w:sz w:val="24"/>
          <w:szCs w:val="24"/>
        </w:rPr>
        <w:t>věcně do tohoto principu nikterak nezasahuje.</w:t>
      </w:r>
    </w:p>
    <w:p w14:paraId="3E36E1AA" w14:textId="77777777" w:rsidR="00FB22B6" w:rsidRPr="006F31AF" w:rsidRDefault="00FB22B6" w:rsidP="00FB22B6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F31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7C0701" w14:textId="77777777" w:rsidR="00FB22B6" w:rsidRPr="006F31AF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AF">
        <w:rPr>
          <w:rFonts w:ascii="Times New Roman" w:hAnsi="Times New Roman" w:cs="Times New Roman"/>
          <w:b/>
          <w:iCs/>
          <w:sz w:val="24"/>
          <w:szCs w:val="24"/>
        </w:rPr>
        <w:t>Technologická neutralita</w:t>
      </w:r>
    </w:p>
    <w:p w14:paraId="63259FCE" w14:textId="044BABCD" w:rsidR="00FB22B6" w:rsidRPr="006F31AF" w:rsidRDefault="007C6549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AF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r w:rsidR="00FB22B6" w:rsidRPr="006F31AF">
        <w:rPr>
          <w:rFonts w:ascii="Times New Roman" w:hAnsi="Times New Roman" w:cs="Times New Roman"/>
          <w:sz w:val="24"/>
          <w:szCs w:val="24"/>
        </w:rPr>
        <w:t xml:space="preserve">věcně do tohoto principu nikterak nezasahuje.  </w:t>
      </w:r>
    </w:p>
    <w:p w14:paraId="35709800" w14:textId="77777777" w:rsidR="00FB22B6" w:rsidRPr="006F31AF" w:rsidRDefault="00FB22B6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FCA3" w14:textId="77777777" w:rsidR="00FB22B6" w:rsidRPr="006F31AF" w:rsidRDefault="00FB22B6" w:rsidP="00FB22B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F31AF">
        <w:rPr>
          <w:rFonts w:ascii="Times New Roman" w:hAnsi="Times New Roman" w:cs="Times New Roman"/>
          <w:b/>
          <w:iCs/>
          <w:sz w:val="24"/>
          <w:szCs w:val="24"/>
        </w:rPr>
        <w:t xml:space="preserve"> Uživatelská přívětivost</w:t>
      </w:r>
    </w:p>
    <w:p w14:paraId="517FBB60" w14:textId="7F64131A" w:rsidR="00FB22B6" w:rsidRPr="006F31AF" w:rsidRDefault="007C6549" w:rsidP="00FB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AF">
        <w:rPr>
          <w:rFonts w:ascii="Times New Roman" w:hAnsi="Times New Roman" w:cs="Times New Roman"/>
          <w:sz w:val="24"/>
          <w:szCs w:val="24"/>
        </w:rPr>
        <w:t xml:space="preserve">Návrh novely nařízení vlády </w:t>
      </w:r>
      <w:proofErr w:type="gramStart"/>
      <w:r w:rsidR="00FB22B6" w:rsidRPr="006F31AF">
        <w:rPr>
          <w:rFonts w:ascii="Times New Roman" w:hAnsi="Times New Roman" w:cs="Times New Roman"/>
          <w:sz w:val="24"/>
          <w:szCs w:val="24"/>
        </w:rPr>
        <w:t>nevytváří</w:t>
      </w:r>
      <w:proofErr w:type="gramEnd"/>
      <w:r w:rsidR="00FB22B6" w:rsidRPr="006F31AF">
        <w:rPr>
          <w:rFonts w:ascii="Times New Roman" w:hAnsi="Times New Roman" w:cs="Times New Roman"/>
          <w:sz w:val="24"/>
          <w:szCs w:val="24"/>
        </w:rPr>
        <w:t xml:space="preserve"> žádné bariéry pro tvorbu uživatelsky přívětivých aplikací.</w:t>
      </w:r>
    </w:p>
    <w:p w14:paraId="2C443AA0" w14:textId="77777777" w:rsidR="00FB22B6" w:rsidRPr="006F31AF" w:rsidRDefault="00FB22B6" w:rsidP="00FB22B6">
      <w:pPr>
        <w:pStyle w:val="Zkladntext"/>
        <w:spacing w:after="0"/>
        <w:jc w:val="both"/>
        <w:rPr>
          <w:b/>
          <w:bCs/>
        </w:rPr>
      </w:pPr>
    </w:p>
    <w:p w14:paraId="5089E36A" w14:textId="65F7047A" w:rsidR="00FB22B6" w:rsidRPr="006F31AF" w:rsidRDefault="00F854E3" w:rsidP="00FB22B6">
      <w:pPr>
        <w:pStyle w:val="Zkladntext"/>
        <w:spacing w:after="0"/>
        <w:jc w:val="both"/>
        <w:rPr>
          <w:b/>
          <w:bCs/>
        </w:rPr>
      </w:pPr>
      <w:r>
        <w:rPr>
          <w:b/>
          <w:bCs/>
        </w:rPr>
        <w:t xml:space="preserve"> B. </w:t>
      </w:r>
      <w:r w:rsidR="00FB22B6" w:rsidRPr="006F31AF">
        <w:rPr>
          <w:b/>
          <w:bCs/>
        </w:rPr>
        <w:t>Závěrečná zpráva zhodnocení dopadů regulace</w:t>
      </w:r>
    </w:p>
    <w:p w14:paraId="54E64ACC" w14:textId="77777777" w:rsidR="00FB22B6" w:rsidRPr="006F31AF" w:rsidRDefault="00FB22B6" w:rsidP="00FB2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6687" w14:textId="65111C46" w:rsidR="00FB22B6" w:rsidRPr="007C6549" w:rsidRDefault="00F854E3" w:rsidP="00FB2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n</w:t>
      </w:r>
      <w:r w:rsidR="007C6549" w:rsidRPr="006F31AF">
        <w:rPr>
          <w:rFonts w:ascii="Times New Roman" w:hAnsi="Times New Roman" w:cs="Times New Roman"/>
          <w:sz w:val="24"/>
          <w:szCs w:val="24"/>
        </w:rPr>
        <w:t>ávrh</w:t>
      </w:r>
      <w:r w:rsidR="00CD34F0">
        <w:rPr>
          <w:rFonts w:ascii="Times New Roman" w:hAnsi="Times New Roman" w:cs="Times New Roman"/>
          <w:sz w:val="24"/>
          <w:szCs w:val="24"/>
        </w:rPr>
        <w:t>u</w:t>
      </w:r>
      <w:r w:rsidR="007C6549" w:rsidRPr="006F31AF">
        <w:rPr>
          <w:rFonts w:ascii="Times New Roman" w:hAnsi="Times New Roman" w:cs="Times New Roman"/>
          <w:sz w:val="24"/>
          <w:szCs w:val="24"/>
        </w:rPr>
        <w:t xml:space="preserve"> novely nařízení vlády </w:t>
      </w:r>
      <w:r w:rsidR="00FB22B6" w:rsidRPr="006F31AF">
        <w:rPr>
          <w:rFonts w:ascii="Times New Roman" w:hAnsi="Times New Roman" w:cs="Times New Roman"/>
          <w:sz w:val="24"/>
          <w:szCs w:val="24"/>
        </w:rPr>
        <w:t xml:space="preserve">nebyla </w:t>
      </w:r>
      <w:r w:rsidRPr="006F31AF">
        <w:rPr>
          <w:rFonts w:ascii="Times New Roman" w:hAnsi="Times New Roman" w:cs="Times New Roman"/>
          <w:sz w:val="24"/>
          <w:szCs w:val="24"/>
        </w:rPr>
        <w:t>vypracová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F31AF">
        <w:rPr>
          <w:rFonts w:ascii="Times New Roman" w:hAnsi="Times New Roman" w:cs="Times New Roman"/>
          <w:sz w:val="24"/>
          <w:szCs w:val="24"/>
        </w:rPr>
        <w:t xml:space="preserve"> </w:t>
      </w:r>
      <w:r w:rsidR="00FB22B6" w:rsidRPr="006F31AF">
        <w:rPr>
          <w:rFonts w:ascii="Times New Roman" w:hAnsi="Times New Roman" w:cs="Times New Roman"/>
          <w:sz w:val="24"/>
          <w:szCs w:val="24"/>
        </w:rPr>
        <w:t>závěrečná zpráva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2B6" w:rsidRPr="006F31AF">
        <w:rPr>
          <w:rFonts w:ascii="Times New Roman" w:hAnsi="Times New Roman" w:cs="Times New Roman"/>
          <w:sz w:val="24"/>
          <w:szCs w:val="24"/>
        </w:rPr>
        <w:t>hodnocení dopadů regulace</w:t>
      </w:r>
      <w:r>
        <w:rPr>
          <w:rFonts w:ascii="Times New Roman" w:hAnsi="Times New Roman" w:cs="Times New Roman"/>
          <w:sz w:val="24"/>
          <w:szCs w:val="24"/>
        </w:rPr>
        <w:t xml:space="preserve"> (bylo zažádáno o udělení výjimky ze zpracování RIA).</w:t>
      </w:r>
      <w:r w:rsidR="00CF661E">
        <w:rPr>
          <w:rFonts w:ascii="Times New Roman" w:hAnsi="Times New Roman" w:cs="Times New Roman"/>
          <w:sz w:val="24"/>
          <w:szCs w:val="24"/>
        </w:rPr>
        <w:t xml:space="preserve"> Úřad vlády této žádosti vyhověl </w:t>
      </w:r>
      <w:r w:rsidR="009D0567">
        <w:rPr>
          <w:rFonts w:ascii="Times New Roman" w:hAnsi="Times New Roman" w:cs="Times New Roman"/>
          <w:sz w:val="24"/>
          <w:szCs w:val="24"/>
        </w:rPr>
        <w:t xml:space="preserve">přípisem </w:t>
      </w:r>
      <w:r w:rsidR="00714FF6" w:rsidRPr="00714FF6">
        <w:rPr>
          <w:rFonts w:ascii="Times New Roman" w:hAnsi="Times New Roman" w:cs="Times New Roman"/>
          <w:sz w:val="24"/>
          <w:szCs w:val="24"/>
        </w:rPr>
        <w:t>Čj. 41676-2024-UVCR</w:t>
      </w:r>
      <w:r w:rsidR="009D0567">
        <w:rPr>
          <w:rFonts w:ascii="Times New Roman" w:hAnsi="Times New Roman" w:cs="Times New Roman"/>
          <w:sz w:val="24"/>
          <w:szCs w:val="24"/>
        </w:rPr>
        <w:t>.</w:t>
      </w:r>
    </w:p>
    <w:p w14:paraId="5548CFAE" w14:textId="77777777" w:rsidR="00ED4088" w:rsidRDefault="00ED4088" w:rsidP="001437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0AC8E" w14:textId="6C88B720" w:rsidR="00ED4088" w:rsidRDefault="00ED4088" w:rsidP="001437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63AEA" w14:textId="77777777" w:rsidR="00ED4088" w:rsidRPr="00143750" w:rsidRDefault="00ED4088" w:rsidP="0014375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AE0040" w14:textId="77777777" w:rsidR="009C44C9" w:rsidRDefault="009C44C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3281172" w14:textId="17C055F3" w:rsidR="00031D72" w:rsidRDefault="000E0794" w:rsidP="001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Zvláštní část</w:t>
      </w:r>
    </w:p>
    <w:p w14:paraId="355D18E8" w14:textId="77777777" w:rsidR="00F766A9" w:rsidRDefault="00F766A9" w:rsidP="001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461842" w14:textId="77B7E2E5" w:rsidR="00F766A9" w:rsidRDefault="00F766A9" w:rsidP="001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 Čl. I</w:t>
      </w:r>
    </w:p>
    <w:p w14:paraId="1887DA9C" w14:textId="77777777" w:rsidR="00AD10F5" w:rsidRDefault="00AD10F5" w:rsidP="001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B23447" w14:textId="36485349" w:rsidR="00AD10F5" w:rsidRDefault="00E950CB" w:rsidP="00AD10F5">
      <w:pPr>
        <w:pStyle w:val="l4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K bod</w:t>
      </w:r>
      <w:r w:rsidR="009E170D">
        <w:rPr>
          <w:b/>
          <w:bCs/>
          <w:u w:val="single"/>
        </w:rPr>
        <w:t>ům</w:t>
      </w:r>
      <w:r>
        <w:rPr>
          <w:b/>
          <w:bCs/>
          <w:u w:val="single"/>
        </w:rPr>
        <w:t xml:space="preserve"> 1</w:t>
      </w:r>
      <w:r w:rsidR="009E170D">
        <w:rPr>
          <w:b/>
          <w:bCs/>
          <w:u w:val="single"/>
        </w:rPr>
        <w:t xml:space="preserve"> a 2</w:t>
      </w:r>
      <w:r>
        <w:rPr>
          <w:b/>
          <w:bCs/>
          <w:u w:val="single"/>
        </w:rPr>
        <w:t xml:space="preserve"> (</w:t>
      </w:r>
      <w:r w:rsidR="00AD10F5" w:rsidRPr="00AD10F5">
        <w:rPr>
          <w:b/>
          <w:bCs/>
          <w:u w:val="single"/>
        </w:rPr>
        <w:t>§ 18</w:t>
      </w:r>
      <w:r w:rsidR="00291481">
        <w:rPr>
          <w:b/>
          <w:bCs/>
          <w:u w:val="single"/>
        </w:rPr>
        <w:t xml:space="preserve"> odst.</w:t>
      </w:r>
      <w:r w:rsidR="00DC7D2C">
        <w:rPr>
          <w:b/>
          <w:bCs/>
          <w:u w:val="single"/>
        </w:rPr>
        <w:t xml:space="preserve"> 1 a odst.</w:t>
      </w:r>
      <w:r w:rsidR="002221E2">
        <w:rPr>
          <w:b/>
          <w:bCs/>
          <w:u w:val="single"/>
        </w:rPr>
        <w:t>2</w:t>
      </w:r>
      <w:r>
        <w:rPr>
          <w:b/>
          <w:bCs/>
          <w:u w:val="single"/>
        </w:rPr>
        <w:t>)</w:t>
      </w:r>
    </w:p>
    <w:p w14:paraId="149BAEAA" w14:textId="5A25441D" w:rsidR="00404FEC" w:rsidRDefault="002F1394" w:rsidP="000E5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Změnou</w:t>
      </w:r>
      <w:r w:rsidRPr="005B3A0F">
        <w:rPr>
          <w:rFonts w:ascii="Times New Roman" w:hAnsi="Times New Roman" w:cs="Times New Roman"/>
          <w:sz w:val="24"/>
          <w:szCs w:val="24"/>
        </w:rPr>
        <w:t xml:space="preserve"> došlo k vypuštění věty stanovující, že kontrolované pásmo se nevyžaduje u prací, které jsou vykonávány krátkodobě, tedy méně než 4 hodiny za směnu, a to z toho důvodu, </w:t>
      </w:r>
      <w:r w:rsidR="0001246D">
        <w:rPr>
          <w:rFonts w:ascii="Times New Roman" w:hAnsi="Times New Roman" w:cs="Times New Roman"/>
          <w:sz w:val="24"/>
          <w:szCs w:val="24"/>
        </w:rPr>
        <w:t xml:space="preserve">že </w:t>
      </w:r>
      <w:r w:rsidRPr="005B3A0F">
        <w:rPr>
          <w:rFonts w:ascii="Times New Roman" w:hAnsi="Times New Roman" w:cs="Times New Roman"/>
          <w:sz w:val="24"/>
          <w:szCs w:val="24"/>
        </w:rPr>
        <w:t>expozice pracovníků pracujícími s chemickým</w:t>
      </w:r>
      <w:r w:rsidR="00481980">
        <w:rPr>
          <w:rFonts w:ascii="Times New Roman" w:hAnsi="Times New Roman" w:cs="Times New Roman"/>
          <w:sz w:val="24"/>
          <w:szCs w:val="24"/>
        </w:rPr>
        <w:t>i</w:t>
      </w:r>
      <w:r w:rsidRPr="005B3A0F">
        <w:rPr>
          <w:rFonts w:ascii="Times New Roman" w:hAnsi="Times New Roman" w:cs="Times New Roman"/>
          <w:sz w:val="24"/>
          <w:szCs w:val="24"/>
        </w:rPr>
        <w:t xml:space="preserve"> </w:t>
      </w:r>
      <w:r w:rsidR="00F90EF2" w:rsidRPr="005B3A0F">
        <w:rPr>
          <w:rFonts w:ascii="Times New Roman" w:hAnsi="Times New Roman" w:cs="Times New Roman"/>
          <w:sz w:val="24"/>
          <w:szCs w:val="24"/>
        </w:rPr>
        <w:t>látk</w:t>
      </w:r>
      <w:r w:rsidR="00F90EF2">
        <w:rPr>
          <w:rFonts w:ascii="Times New Roman" w:hAnsi="Times New Roman" w:cs="Times New Roman"/>
          <w:sz w:val="24"/>
          <w:szCs w:val="24"/>
        </w:rPr>
        <w:t>a</w:t>
      </w:r>
      <w:r w:rsidR="00F90EF2" w:rsidRPr="005B3A0F">
        <w:rPr>
          <w:rFonts w:ascii="Times New Roman" w:hAnsi="Times New Roman" w:cs="Times New Roman"/>
          <w:sz w:val="24"/>
          <w:szCs w:val="24"/>
        </w:rPr>
        <w:t>m</w:t>
      </w:r>
      <w:r w:rsidR="00F90EF2">
        <w:rPr>
          <w:rFonts w:ascii="Times New Roman" w:hAnsi="Times New Roman" w:cs="Times New Roman"/>
          <w:sz w:val="24"/>
          <w:szCs w:val="24"/>
        </w:rPr>
        <w:t>i</w:t>
      </w:r>
      <w:r w:rsidR="00F90EF2" w:rsidRPr="005B3A0F">
        <w:rPr>
          <w:rFonts w:ascii="Times New Roman" w:hAnsi="Times New Roman" w:cs="Times New Roman"/>
          <w:sz w:val="24"/>
          <w:szCs w:val="24"/>
        </w:rPr>
        <w:t xml:space="preserve"> </w:t>
      </w:r>
      <w:r w:rsidRPr="005B3A0F">
        <w:rPr>
          <w:rFonts w:ascii="Times New Roman" w:hAnsi="Times New Roman" w:cs="Times New Roman"/>
          <w:sz w:val="24"/>
          <w:szCs w:val="24"/>
        </w:rPr>
        <w:t>(uvedeným</w:t>
      </w:r>
      <w:r w:rsidR="00345111">
        <w:rPr>
          <w:rFonts w:ascii="Times New Roman" w:hAnsi="Times New Roman" w:cs="Times New Roman"/>
          <w:sz w:val="24"/>
          <w:szCs w:val="24"/>
        </w:rPr>
        <w:t>i</w:t>
      </w:r>
      <w:r w:rsidRPr="005B3A0F">
        <w:rPr>
          <w:rFonts w:ascii="Times New Roman" w:hAnsi="Times New Roman" w:cs="Times New Roman"/>
          <w:sz w:val="24"/>
          <w:szCs w:val="24"/>
        </w:rPr>
        <w:t xml:space="preserve"> v § 16 odst. 1 písm. a) tohoto nařízení) může být vysoká i v době do 4 hodin. Časový úsek (méně než 4 hodiny) pro tuto výjimku (kdy zřízení kontrolovaného pásma být nemusí) není dostatečně relevantní.  </w:t>
      </w:r>
      <w:r w:rsidR="00404FEC">
        <w:rPr>
          <w:rFonts w:ascii="Times New Roman" w:hAnsi="Times New Roman" w:cs="Times New Roman"/>
          <w:sz w:val="24"/>
          <w:szCs w:val="24"/>
        </w:rPr>
        <w:t>Zároveň bylo upraveno, kdy je nutno zřídit kontrolované pásmo (došlo k odstranění slova „vždy“, které se zároveň vylučoval</w:t>
      </w:r>
      <w:r w:rsidR="00E00C48">
        <w:rPr>
          <w:rFonts w:ascii="Times New Roman" w:hAnsi="Times New Roman" w:cs="Times New Roman"/>
          <w:sz w:val="24"/>
          <w:szCs w:val="24"/>
        </w:rPr>
        <w:t>o</w:t>
      </w:r>
      <w:r w:rsidR="00404FEC">
        <w:rPr>
          <w:rFonts w:ascii="Times New Roman" w:hAnsi="Times New Roman" w:cs="Times New Roman"/>
          <w:sz w:val="24"/>
          <w:szCs w:val="24"/>
        </w:rPr>
        <w:t xml:space="preserve"> s následující větou „pokud je to možné“). Uvedená změna kore</w:t>
      </w:r>
      <w:r w:rsidR="00DE3667">
        <w:rPr>
          <w:rFonts w:ascii="Times New Roman" w:hAnsi="Times New Roman" w:cs="Times New Roman"/>
          <w:sz w:val="24"/>
          <w:szCs w:val="24"/>
        </w:rPr>
        <w:t>sponduje</w:t>
      </w:r>
      <w:r w:rsidR="00404FEC">
        <w:rPr>
          <w:rFonts w:ascii="Times New Roman" w:hAnsi="Times New Roman" w:cs="Times New Roman"/>
          <w:sz w:val="24"/>
          <w:szCs w:val="24"/>
        </w:rPr>
        <w:t xml:space="preserve"> i s novou definicí</w:t>
      </w:r>
      <w:r w:rsidR="0001246D">
        <w:rPr>
          <w:rFonts w:ascii="Times New Roman" w:hAnsi="Times New Roman" w:cs="Times New Roman"/>
          <w:sz w:val="24"/>
          <w:szCs w:val="24"/>
        </w:rPr>
        <w:t xml:space="preserve"> </w:t>
      </w:r>
      <w:r w:rsidR="00DD164E">
        <w:rPr>
          <w:rFonts w:ascii="Times New Roman" w:hAnsi="Times New Roman" w:cs="Times New Roman"/>
          <w:sz w:val="24"/>
          <w:szCs w:val="24"/>
        </w:rPr>
        <w:t>obsaženou</w:t>
      </w:r>
      <w:r w:rsidR="00404FEC">
        <w:rPr>
          <w:rFonts w:ascii="Times New Roman" w:hAnsi="Times New Roman" w:cs="Times New Roman"/>
          <w:sz w:val="24"/>
          <w:szCs w:val="24"/>
        </w:rPr>
        <w:t xml:space="preserve"> v zákoně č. 309</w:t>
      </w:r>
      <w:r w:rsidR="00DE3667">
        <w:rPr>
          <w:rFonts w:ascii="Times New Roman" w:hAnsi="Times New Roman" w:cs="Times New Roman"/>
          <w:sz w:val="24"/>
          <w:szCs w:val="24"/>
        </w:rPr>
        <w:t xml:space="preserve">/2006 Sb., </w:t>
      </w:r>
      <w:r w:rsidR="00DE3667" w:rsidRPr="00DE3667">
        <w:rPr>
          <w:rFonts w:ascii="Times New Roman" w:hAnsi="Times New Roman" w:cs="Times New Roman"/>
          <w:sz w:val="24"/>
          <w:szCs w:val="24"/>
        </w:rPr>
        <w:t>kterým se upravují další požadavky bezpečnosti a ochrany zdraví při práci v pracovněprávních vztazích a</w:t>
      </w:r>
      <w:r w:rsidR="00FC4471">
        <w:rPr>
          <w:rFonts w:ascii="Times New Roman" w:hAnsi="Times New Roman" w:cs="Times New Roman"/>
          <w:sz w:val="24"/>
          <w:szCs w:val="24"/>
        </w:rPr>
        <w:t> </w:t>
      </w:r>
      <w:r w:rsidR="00DE3667" w:rsidRPr="00DE3667">
        <w:rPr>
          <w:rFonts w:ascii="Times New Roman" w:hAnsi="Times New Roman" w:cs="Times New Roman"/>
          <w:sz w:val="24"/>
          <w:szCs w:val="24"/>
        </w:rPr>
        <w:t>o</w:t>
      </w:r>
      <w:r w:rsidR="00FC4471">
        <w:rPr>
          <w:rFonts w:ascii="Times New Roman" w:hAnsi="Times New Roman" w:cs="Times New Roman"/>
          <w:sz w:val="24"/>
          <w:szCs w:val="24"/>
        </w:rPr>
        <w:t> </w:t>
      </w:r>
      <w:r w:rsidR="00DE3667" w:rsidRPr="00DE3667">
        <w:rPr>
          <w:rFonts w:ascii="Times New Roman" w:hAnsi="Times New Roman" w:cs="Times New Roman"/>
          <w:sz w:val="24"/>
          <w:szCs w:val="24"/>
        </w:rPr>
        <w:t>zajištění bezpečnosti a ochrany zdraví při činnosti nebo poskytování služeb mimo pracovněprávní vztahy (zákon o zajištění dalších podmínek bezpečnosti a ochrany zdraví při práci)</w:t>
      </w:r>
      <w:r w:rsidR="00DE3667">
        <w:rPr>
          <w:rFonts w:ascii="Times New Roman" w:hAnsi="Times New Roman" w:cs="Times New Roman"/>
          <w:sz w:val="24"/>
          <w:szCs w:val="24"/>
        </w:rPr>
        <w:t xml:space="preserve">, ve znění pozdějších předpisů, jež v </w:t>
      </w:r>
      <w:r w:rsidR="00471F28" w:rsidRPr="00471F28">
        <w:rPr>
          <w:rFonts w:ascii="Times New Roman" w:hAnsi="Times New Roman" w:cs="Times New Roman"/>
          <w:sz w:val="24"/>
          <w:szCs w:val="24"/>
        </w:rPr>
        <w:t xml:space="preserve">§ </w:t>
      </w:r>
      <w:r w:rsidR="00471F28">
        <w:rPr>
          <w:rFonts w:ascii="Times New Roman" w:hAnsi="Times New Roman" w:cs="Times New Roman"/>
          <w:sz w:val="24"/>
          <w:szCs w:val="24"/>
        </w:rPr>
        <w:t xml:space="preserve">7 odst. 3 uvádí, že </w:t>
      </w:r>
      <w:r w:rsidR="000E56CF" w:rsidRPr="000E56CF">
        <w:rPr>
          <w:rFonts w:ascii="Times New Roman" w:hAnsi="Times New Roman" w:cs="Times New Roman"/>
          <w:sz w:val="24"/>
          <w:szCs w:val="24"/>
        </w:rPr>
        <w:t>kontrolovaným pásmem je zřetelně a viditelně označený prostor, stavebně oddělený od pracovního prostředí, je-li to možné, kde se provádějí činnosti, které na základě vyhodnocení rizika představují riziko pro zdraví a bezpečnost zaměstnanců, a který je zajištěný proti vstupu nepovolané osoby</w:t>
      </w:r>
      <w:r w:rsidR="003D4F7F">
        <w:rPr>
          <w:rFonts w:ascii="Times New Roman" w:hAnsi="Times New Roman" w:cs="Times New Roman"/>
          <w:sz w:val="24"/>
          <w:szCs w:val="24"/>
        </w:rPr>
        <w:t>.</w:t>
      </w:r>
    </w:p>
    <w:p w14:paraId="22D9CA42" w14:textId="24BFC987" w:rsidR="003D4F7F" w:rsidRDefault="00996AAA" w:rsidP="000E5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k sjednocení terminologie </w:t>
      </w:r>
      <w:r w:rsidR="00025A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A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oplněn byl pojem „směsi“.</w:t>
      </w:r>
    </w:p>
    <w:p w14:paraId="010ABA7B" w14:textId="77777777" w:rsidR="002221E2" w:rsidRDefault="002221E2" w:rsidP="0041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92310" w14:textId="256C6CCE" w:rsidR="002221E2" w:rsidRDefault="00E950CB" w:rsidP="00410312">
      <w:pPr>
        <w:pStyle w:val="l4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9E170D">
        <w:rPr>
          <w:b/>
          <w:bCs/>
          <w:u w:val="single"/>
        </w:rPr>
        <w:t> bodu 3</w:t>
      </w:r>
      <w:r>
        <w:rPr>
          <w:b/>
          <w:bCs/>
          <w:u w:val="single"/>
        </w:rPr>
        <w:t xml:space="preserve"> </w:t>
      </w:r>
      <w:r w:rsidR="009E170D">
        <w:rPr>
          <w:b/>
          <w:bCs/>
          <w:u w:val="single"/>
        </w:rPr>
        <w:t>(</w:t>
      </w:r>
      <w:r w:rsidR="002221E2" w:rsidRPr="00AD10F5">
        <w:rPr>
          <w:b/>
          <w:bCs/>
          <w:u w:val="single"/>
        </w:rPr>
        <w:t>§ 18</w:t>
      </w:r>
      <w:r w:rsidR="002221E2">
        <w:rPr>
          <w:b/>
          <w:bCs/>
          <w:u w:val="single"/>
        </w:rPr>
        <w:t xml:space="preserve"> odst. </w:t>
      </w:r>
      <w:r w:rsidR="00C30F21">
        <w:rPr>
          <w:b/>
          <w:bCs/>
          <w:u w:val="single"/>
        </w:rPr>
        <w:t>6 a 7</w:t>
      </w:r>
      <w:r w:rsidR="009E170D">
        <w:rPr>
          <w:b/>
          <w:bCs/>
          <w:u w:val="single"/>
        </w:rPr>
        <w:t>)</w:t>
      </w:r>
    </w:p>
    <w:p w14:paraId="15606F43" w14:textId="38765C31" w:rsidR="002221E2" w:rsidRDefault="00C30F21" w:rsidP="0041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reflektuje klasifikac</w:t>
      </w:r>
      <w:r w:rsidR="004B7145">
        <w:rPr>
          <w:rFonts w:ascii="Times New Roman" w:hAnsi="Times New Roman" w:cs="Times New Roman"/>
          <w:sz w:val="24"/>
          <w:szCs w:val="24"/>
        </w:rPr>
        <w:t xml:space="preserve">i </w:t>
      </w:r>
      <w:r w:rsidR="005F7B5D">
        <w:rPr>
          <w:rFonts w:ascii="Times New Roman" w:hAnsi="Times New Roman" w:cs="Times New Roman"/>
          <w:sz w:val="24"/>
          <w:szCs w:val="24"/>
        </w:rPr>
        <w:t xml:space="preserve">chemických látek a směsí </w:t>
      </w:r>
      <w:r w:rsidR="004B7145">
        <w:rPr>
          <w:rFonts w:ascii="Times New Roman" w:hAnsi="Times New Roman" w:cs="Times New Roman"/>
          <w:sz w:val="24"/>
          <w:szCs w:val="24"/>
        </w:rPr>
        <w:t xml:space="preserve">vycházející </w:t>
      </w:r>
      <w:r w:rsidR="00410312">
        <w:rPr>
          <w:rFonts w:ascii="Times New Roman" w:hAnsi="Times New Roman" w:cs="Times New Roman"/>
          <w:sz w:val="24"/>
          <w:szCs w:val="24"/>
        </w:rPr>
        <w:t xml:space="preserve">z </w:t>
      </w:r>
      <w:r w:rsidR="004B7145">
        <w:rPr>
          <w:rFonts w:ascii="Times New Roman" w:hAnsi="Times New Roman" w:cs="Times New Roman"/>
          <w:sz w:val="24"/>
          <w:szCs w:val="24"/>
        </w:rPr>
        <w:t>evropských právních předpisů, kon</w:t>
      </w:r>
      <w:r w:rsidR="007E6916">
        <w:rPr>
          <w:rFonts w:ascii="Times New Roman" w:hAnsi="Times New Roman" w:cs="Times New Roman"/>
          <w:sz w:val="24"/>
          <w:szCs w:val="24"/>
        </w:rPr>
        <w:t xml:space="preserve">krétně z </w:t>
      </w:r>
      <w:r w:rsidR="001B7866">
        <w:rPr>
          <w:rFonts w:ascii="Times New Roman" w:hAnsi="Times New Roman" w:cs="Times New Roman"/>
          <w:sz w:val="24"/>
          <w:szCs w:val="24"/>
        </w:rPr>
        <w:t>n</w:t>
      </w:r>
      <w:r w:rsidR="001B7866" w:rsidRPr="001B7866">
        <w:rPr>
          <w:rFonts w:ascii="Times New Roman" w:hAnsi="Times New Roman" w:cs="Times New Roman"/>
          <w:sz w:val="24"/>
          <w:szCs w:val="24"/>
        </w:rPr>
        <w:t>ařízení Evropského parlamentu a Rady (ES) č. 1272/2008 ze dne 16. prosince 2008 o klasifikaci, označování a balení látek a směsí, o změně a zrušení směrnic 67/548/EHS a 1999/45/ES a o změně nařízení (ES) č. 1907/2006</w:t>
      </w:r>
      <w:r w:rsidR="001B78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05C21" w14:textId="77777777" w:rsidR="00D63009" w:rsidRDefault="00D63009" w:rsidP="006C05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FA7B5D" w14:textId="6714480D" w:rsidR="00C37C2B" w:rsidRPr="00D63009" w:rsidRDefault="00E950C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9E170D">
        <w:rPr>
          <w:rFonts w:ascii="Times New Roman" w:hAnsi="Times New Roman" w:cs="Times New Roman"/>
          <w:b/>
          <w:bCs/>
          <w:sz w:val="24"/>
          <w:szCs w:val="24"/>
          <w:u w:val="single"/>
        </w:rPr>
        <w:t> bodům 4, 6 a 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05581" w:rsidRPr="00505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§ </w:t>
      </w:r>
      <w:r w:rsidR="00505581">
        <w:rPr>
          <w:rFonts w:ascii="Times New Roman" w:hAnsi="Times New Roman" w:cs="Times New Roman"/>
          <w:b/>
          <w:bCs/>
          <w:sz w:val="24"/>
          <w:szCs w:val="24"/>
          <w:u w:val="single"/>
        </w:rPr>
        <w:t>25a</w:t>
      </w:r>
      <w:r w:rsidR="00D512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D512DD" w:rsidRPr="00505581">
        <w:rPr>
          <w:rFonts w:ascii="Times New Roman" w:hAnsi="Times New Roman" w:cs="Times New Roman"/>
          <w:b/>
          <w:bCs/>
          <w:sz w:val="24"/>
          <w:szCs w:val="24"/>
          <w:u w:val="single"/>
        </w:rPr>
        <w:t>§</w:t>
      </w:r>
      <w:r w:rsidR="001D67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27a</w:t>
      </w:r>
      <w:r w:rsidR="006C05E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813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512DD" w:rsidRPr="00505581">
        <w:rPr>
          <w:rFonts w:ascii="Times New Roman" w:hAnsi="Times New Roman" w:cs="Times New Roman"/>
          <w:b/>
          <w:bCs/>
          <w:sz w:val="24"/>
          <w:szCs w:val="24"/>
          <w:u w:val="single"/>
        </w:rPr>
        <w:t>§</w:t>
      </w:r>
      <w:r w:rsidR="00D512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C73A0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6C05E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4C75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C05EF" w:rsidRPr="004C75ED">
        <w:rPr>
          <w:rFonts w:ascii="Times New Roman" w:hAnsi="Times New Roman" w:cs="Times New Roman"/>
          <w:b/>
          <w:bCs/>
          <w:sz w:val="24"/>
          <w:szCs w:val="24"/>
          <w:u w:val="single"/>
        </w:rPr>
        <w:t>§ 33 a § 35</w:t>
      </w:r>
    </w:p>
    <w:p w14:paraId="231417EA" w14:textId="1C604030" w:rsidR="0077292B" w:rsidRDefault="00DC2019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Úpravou dochází k</w:t>
      </w:r>
      <w:r w:rsidR="008131C7" w:rsidRPr="00A065D2">
        <w:rPr>
          <w:rFonts w:ascii="Times New Roman" w:eastAsia="Arial" w:hAnsi="Times New Roman" w:cs="Times New Roman"/>
          <w:bCs/>
          <w:sz w:val="24"/>
          <w:szCs w:val="24"/>
        </w:rPr>
        <w:t xml:space="preserve"> upřesněn</w:t>
      </w:r>
      <w:r>
        <w:rPr>
          <w:rFonts w:ascii="Times New Roman" w:eastAsia="Arial" w:hAnsi="Times New Roman" w:cs="Times New Roman"/>
          <w:bCs/>
          <w:sz w:val="24"/>
          <w:szCs w:val="24"/>
        </w:rPr>
        <w:t>í</w:t>
      </w:r>
      <w:r w:rsidR="008131C7" w:rsidRPr="00A065D2">
        <w:rPr>
          <w:rFonts w:ascii="Times New Roman" w:eastAsia="Arial" w:hAnsi="Times New Roman" w:cs="Times New Roman"/>
          <w:bCs/>
          <w:sz w:val="24"/>
          <w:szCs w:val="24"/>
        </w:rPr>
        <w:t xml:space="preserve">, že </w:t>
      </w:r>
      <w:r w:rsidR="008131C7">
        <w:rPr>
          <w:rFonts w:ascii="Times New Roman" w:eastAsia="Arial" w:hAnsi="Times New Roman" w:cs="Times New Roman"/>
          <w:bCs/>
          <w:sz w:val="24"/>
          <w:szCs w:val="24"/>
        </w:rPr>
        <w:t xml:space="preserve">v případě </w:t>
      </w:r>
      <w:r w:rsidR="00826EBD">
        <w:rPr>
          <w:rFonts w:ascii="Times New Roman" w:eastAsia="Arial" w:hAnsi="Times New Roman" w:cs="Times New Roman"/>
          <w:bCs/>
          <w:sz w:val="24"/>
          <w:szCs w:val="24"/>
        </w:rPr>
        <w:t xml:space="preserve">střídání činností, které může zaměstnavatel </w:t>
      </w:r>
      <w:r w:rsidR="00F6388A">
        <w:rPr>
          <w:rFonts w:ascii="Times New Roman" w:eastAsia="Arial" w:hAnsi="Times New Roman" w:cs="Times New Roman"/>
          <w:bCs/>
          <w:sz w:val="24"/>
          <w:szCs w:val="24"/>
        </w:rPr>
        <w:t>zajistit pro ochranu zdraví zaměstnanců,</w:t>
      </w:r>
      <w:r w:rsidR="008131C7" w:rsidRPr="00A065D2">
        <w:rPr>
          <w:rFonts w:ascii="Times New Roman" w:eastAsia="Arial" w:hAnsi="Times New Roman" w:cs="Times New Roman"/>
          <w:bCs/>
          <w:sz w:val="24"/>
          <w:szCs w:val="24"/>
        </w:rPr>
        <w:t xml:space="preserve"> nesmí být </w:t>
      </w:r>
      <w:r w:rsidR="008131C7" w:rsidRPr="00A065D2">
        <w:rPr>
          <w:rFonts w:ascii="Times New Roman" w:eastAsia="Times New Roman" w:hAnsi="Times New Roman" w:cs="Times New Roman"/>
          <w:bCs/>
          <w:iCs/>
          <w:sz w:val="24"/>
          <w:szCs w:val="24"/>
        </w:rPr>
        <w:t>zaměstnanec exponován danému faktoru</w:t>
      </w:r>
      <w:r w:rsidR="00735C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3928" w:rsidRPr="009339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zařazenému v rizikové kategorii </w:t>
      </w:r>
      <w:r w:rsidR="000350D1">
        <w:rPr>
          <w:rFonts w:ascii="Times New Roman" w:eastAsia="Times New Roman" w:hAnsi="Times New Roman" w:cs="Times New Roman"/>
          <w:bCs/>
          <w:iCs/>
          <w:sz w:val="24"/>
          <w:szCs w:val="24"/>
        </w:rPr>
        <w:t>po</w:t>
      </w:r>
      <w:r w:rsidR="00933928" w:rsidRPr="009339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dle zákona o ochraně veřejného zdraví </w:t>
      </w:r>
      <w:r w:rsidR="00735CA0">
        <w:rPr>
          <w:rFonts w:ascii="Times New Roman" w:eastAsia="Times New Roman" w:hAnsi="Times New Roman" w:cs="Times New Roman"/>
          <w:bCs/>
          <w:iCs/>
          <w:sz w:val="24"/>
          <w:szCs w:val="24"/>
        </w:rPr>
        <w:t>(u faktorů mající limit)</w:t>
      </w:r>
      <w:r w:rsidR="00D630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pro který byl střídán</w:t>
      </w:r>
      <w:r w:rsidR="00C5197A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DE0D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 to z důvodu, aby zaměstnanec nebyl znovu exponován témuž faktoru pracovních podmínek, který má na něj negativní vliv</w:t>
      </w:r>
      <w:r w:rsidR="00D553D3">
        <w:rPr>
          <w:rFonts w:ascii="Times New Roman" w:eastAsia="Times New Roman" w:hAnsi="Times New Roman" w:cs="Times New Roman"/>
          <w:bCs/>
          <w:iCs/>
          <w:sz w:val="24"/>
          <w:szCs w:val="24"/>
        </w:rPr>
        <w:t>. T</w:t>
      </w:r>
      <w:r w:rsidR="00DE0DFF">
        <w:rPr>
          <w:rFonts w:ascii="Times New Roman" w:eastAsia="Times New Roman" w:hAnsi="Times New Roman" w:cs="Times New Roman"/>
          <w:bCs/>
          <w:iCs/>
          <w:sz w:val="24"/>
          <w:szCs w:val="24"/>
        </w:rPr>
        <w:t>akové střídání</w:t>
      </w:r>
      <w:r w:rsidR="003D5CD0">
        <w:rPr>
          <w:rFonts w:ascii="Times New Roman" w:eastAsia="Times New Roman" w:hAnsi="Times New Roman" w:cs="Times New Roman"/>
          <w:bCs/>
          <w:iCs/>
          <w:sz w:val="24"/>
          <w:szCs w:val="24"/>
        </w:rPr>
        <w:t>, kdy by na jiném pracovním místě/pracovišti</w:t>
      </w:r>
      <w:r w:rsidR="00D553D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byl </w:t>
      </w:r>
      <w:r w:rsidR="00F72786">
        <w:rPr>
          <w:rFonts w:ascii="Times New Roman" w:eastAsia="Times New Roman" w:hAnsi="Times New Roman" w:cs="Times New Roman"/>
          <w:bCs/>
          <w:iCs/>
          <w:sz w:val="24"/>
          <w:szCs w:val="24"/>
        </w:rPr>
        <w:t>exponován znovu</w:t>
      </w:r>
      <w:r w:rsidR="00375F7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témuž faktoru</w:t>
      </w:r>
      <w:r w:rsidR="003D5CD0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DE0D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by </w:t>
      </w:r>
      <w:r w:rsidR="00C405C0">
        <w:rPr>
          <w:rFonts w:ascii="Times New Roman" w:eastAsia="Times New Roman" w:hAnsi="Times New Roman" w:cs="Times New Roman"/>
          <w:bCs/>
          <w:iCs/>
          <w:sz w:val="24"/>
          <w:szCs w:val="24"/>
        </w:rPr>
        <w:t>nezajistilo dostatečnou</w:t>
      </w:r>
      <w:r w:rsidR="00AF39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ochranu zdraví při práci</w:t>
      </w:r>
      <w:r w:rsidR="00386C26">
        <w:rPr>
          <w:rFonts w:ascii="Times New Roman" w:eastAsia="Times New Roman" w:hAnsi="Times New Roman" w:cs="Times New Roman"/>
          <w:bCs/>
          <w:iCs/>
          <w:sz w:val="24"/>
          <w:szCs w:val="24"/>
        </w:rPr>
        <w:t>, pokud b</w:t>
      </w:r>
      <w:r w:rsidR="00CF230C">
        <w:rPr>
          <w:rFonts w:ascii="Times New Roman" w:eastAsia="Times New Roman" w:hAnsi="Times New Roman" w:cs="Times New Roman"/>
          <w:bCs/>
          <w:iCs/>
          <w:sz w:val="24"/>
          <w:szCs w:val="24"/>
        </w:rPr>
        <w:t>y</w:t>
      </w:r>
      <w:r w:rsidR="00D406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fakto</w:t>
      </w:r>
      <w:r w:rsidR="00CF230C">
        <w:rPr>
          <w:rFonts w:ascii="Times New Roman" w:eastAsia="Times New Roman" w:hAnsi="Times New Roman" w:cs="Times New Roman"/>
          <w:bCs/>
          <w:iCs/>
          <w:sz w:val="24"/>
          <w:szCs w:val="24"/>
        </w:rPr>
        <w:t>r odpovídal kritériím pro zařazení do kategorie rizikové, tedy</w:t>
      </w:r>
      <w:r w:rsidR="001575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druhé,</w:t>
      </w:r>
      <w:r w:rsidR="00CF23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třetí </w:t>
      </w:r>
      <w:r w:rsidR="001575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</w:t>
      </w:r>
      <w:r w:rsidR="00CF23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čtvrté, </w:t>
      </w:r>
      <w:r w:rsidR="00EE7A46" w:rsidRPr="00EE7A46">
        <w:rPr>
          <w:rFonts w:ascii="Times New Roman" w:eastAsia="Times New Roman" w:hAnsi="Times New Roman" w:cs="Times New Roman"/>
          <w:bCs/>
          <w:iCs/>
          <w:sz w:val="24"/>
          <w:szCs w:val="24"/>
        </w:rPr>
        <w:t>o níž takto rozhodne příslušný orgán ochrany veřejného zdraví</w:t>
      </w:r>
      <w:r w:rsidR="00C405C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573B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Zaměstnanec tak může být přiřazen k</w:t>
      </w:r>
      <w:r w:rsidR="00A22354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573B8F">
        <w:rPr>
          <w:rFonts w:ascii="Times New Roman" w:eastAsia="Times New Roman" w:hAnsi="Times New Roman" w:cs="Times New Roman"/>
          <w:bCs/>
          <w:iCs/>
          <w:sz w:val="24"/>
          <w:szCs w:val="24"/>
        </w:rPr>
        <w:t>práci</w:t>
      </w:r>
      <w:r w:rsidR="00A22354">
        <w:rPr>
          <w:rFonts w:ascii="Times New Roman" w:eastAsia="Times New Roman" w:hAnsi="Times New Roman" w:cs="Times New Roman"/>
          <w:bCs/>
          <w:iCs/>
          <w:sz w:val="24"/>
          <w:szCs w:val="24"/>
        </w:rPr>
        <w:t>, v </w:t>
      </w:r>
      <w:proofErr w:type="gramStart"/>
      <w:r w:rsidR="00A22354">
        <w:rPr>
          <w:rFonts w:ascii="Times New Roman" w:eastAsia="Times New Roman" w:hAnsi="Times New Roman" w:cs="Times New Roman"/>
          <w:bCs/>
          <w:iCs/>
          <w:sz w:val="24"/>
          <w:szCs w:val="24"/>
        </w:rPr>
        <w:t>rámci</w:t>
      </w:r>
      <w:proofErr w:type="gramEnd"/>
      <w:r w:rsidR="00A223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které je exponován faktoru, pro který byl střídán a </w:t>
      </w:r>
      <w:r w:rsidR="001174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jehož kriteriální hodnoty/limity odpovídají kategorii první a druhé. </w:t>
      </w:r>
      <w:r w:rsidR="008B06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 tomu bylo přistoupeno z důvodu, že na některých </w:t>
      </w:r>
      <w:r w:rsidR="008B3B30">
        <w:rPr>
          <w:rFonts w:ascii="Times New Roman" w:eastAsia="Times New Roman" w:hAnsi="Times New Roman" w:cs="Times New Roman"/>
          <w:bCs/>
          <w:iCs/>
          <w:sz w:val="24"/>
          <w:szCs w:val="24"/>
        </w:rPr>
        <w:t>pracovištích by nebylo možné střídaní vůbec zajišťovat. Např. p</w:t>
      </w:r>
      <w:r w:rsidR="008B0675" w:rsidRPr="008B06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okud by zaměstnanci měli střídat práce, kde se tento faktor nevyskytuje vůbec, pak takové práce </w:t>
      </w:r>
      <w:r w:rsidR="00711EBE">
        <w:rPr>
          <w:rFonts w:ascii="Times New Roman" w:eastAsia="Times New Roman" w:hAnsi="Times New Roman" w:cs="Times New Roman"/>
          <w:bCs/>
          <w:iCs/>
          <w:sz w:val="24"/>
          <w:szCs w:val="24"/>
        </w:rPr>
        <w:t>například v</w:t>
      </w:r>
      <w:r w:rsidR="008B0675" w:rsidRPr="008B06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„montovnách“ nejsou. </w:t>
      </w:r>
      <w:r w:rsidR="00FC4766">
        <w:rPr>
          <w:rFonts w:ascii="Times New Roman" w:eastAsia="Times New Roman" w:hAnsi="Times New Roman" w:cs="Times New Roman"/>
          <w:bCs/>
          <w:iCs/>
          <w:sz w:val="24"/>
          <w:szCs w:val="24"/>
        </w:rPr>
        <w:t>Dále se uvádí, že p</w:t>
      </w:r>
      <w:r w:rsidR="00FC4766" w:rsidRPr="00FC4766">
        <w:rPr>
          <w:rFonts w:ascii="Times New Roman" w:eastAsia="Times New Roman" w:hAnsi="Times New Roman" w:cs="Times New Roman"/>
          <w:bCs/>
          <w:iCs/>
          <w:sz w:val="24"/>
          <w:szCs w:val="24"/>
        </w:rPr>
        <w:t>oslední bezpečnostní přestávka se zařazuje nejpozději 1 hodinu před ukončením směny.</w:t>
      </w:r>
    </w:p>
    <w:p w14:paraId="192FE6A6" w14:textId="77777777" w:rsidR="00432CE6" w:rsidRDefault="00432CE6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58680BF" w14:textId="459EE8D1" w:rsidR="00432CE6" w:rsidRPr="00553A0D" w:rsidRDefault="00E950CB" w:rsidP="00432CE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EA1F31">
        <w:rPr>
          <w:rFonts w:ascii="Times New Roman" w:hAnsi="Times New Roman" w:cs="Times New Roman"/>
          <w:b/>
          <w:bCs/>
          <w:sz w:val="24"/>
          <w:szCs w:val="24"/>
          <w:u w:val="single"/>
        </w:rPr>
        <w:t> bodu 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A1F3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432CE6" w:rsidRPr="00553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§ </w:t>
      </w:r>
      <w:r w:rsidR="0050228B" w:rsidRPr="00553A0D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="00563F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odst. 11</w:t>
      </w:r>
      <w:r w:rsidR="00EA1F3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5D5E50E" w14:textId="7EF9954F" w:rsidR="00FF68D5" w:rsidRDefault="0082177A" w:rsidP="00FF68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Úpravou dochází k sjednocení možnosti využívání </w:t>
      </w:r>
      <w:r w:rsidR="00BE532D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softwar</w:t>
      </w:r>
      <w:r w:rsidR="00BE532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BE532D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D6FFB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Backsolver</w:t>
      </w:r>
      <w:proofErr w:type="spellEnd"/>
      <w:r w:rsidR="005D6FFB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</w:t>
      </w:r>
      <w:proofErr w:type="gramStart"/>
      <w:r w:rsidR="005D6FFB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slouží</w:t>
      </w:r>
      <w:proofErr w:type="gramEnd"/>
      <w:r w:rsidR="005D6FFB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hodnocení zatížení bederní páteře</w:t>
      </w:r>
      <w:r w:rsidR="00F023ED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. Pro hodnocení se kombinuje manipulace s břemeny a</w:t>
      </w:r>
      <w:r w:rsid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023ED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se zohledňuje pracovní poloha trupu, </w:t>
      </w:r>
      <w:r w:rsidR="002E617D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které k manipulaci dochází. </w:t>
      </w:r>
      <w:proofErr w:type="spellStart"/>
      <w:r w:rsidR="00CA71CF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Backsolver</w:t>
      </w:r>
      <w:proofErr w:type="spellEnd"/>
      <w:r w:rsidR="00CA71CF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2863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2863" w:rsidRPr="00553A0D">
        <w:rPr>
          <w:rFonts w:ascii="Times New Roman" w:eastAsia="Times New Roman" w:hAnsi="Times New Roman" w:cs="Times New Roman"/>
          <w:sz w:val="24"/>
          <w:szCs w:val="24"/>
          <w:lang w:eastAsia="cs-CZ"/>
        </w:rPr>
        <w:t>výpočet využívá jednotný denní limit, a to bez ohledu na délku výkonu práce.</w:t>
      </w:r>
    </w:p>
    <w:p w14:paraId="47454E1A" w14:textId="62B2FEB9" w:rsidR="00FF68D5" w:rsidRDefault="00FF68D5" w:rsidP="00FF68D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Zároveň v praxi bylo problematické, že celková kumulativní hmotnost se nesmí navyšovat, a</w:t>
      </w:r>
      <w:r w:rsidR="00C86E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ani v prodloužené směně (tedy více než osmihodinové). Uvedené j</w:t>
      </w:r>
      <w:r w:rsidR="00B3744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rozporu s vyhláškou č.</w:t>
      </w:r>
      <w:r w:rsidR="00C86E2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432/2003 Sb., </w:t>
      </w:r>
      <w:r w:rsidRPr="00E6647A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znění pozdějších předpisů, neboť uvedené limity odpovídají pouze kategorii druhé, </w:t>
      </w:r>
      <w:r w:rsidRPr="00CA67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avšak předmětná vyhláška umožňuje i kategorii </w:t>
      </w:r>
      <w:r w:rsidR="00C718C7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aplikační praxi tak pracovníci, kteří již byli zařazeni do kategorie třetí </w:t>
      </w:r>
      <w:r w:rsidR="00BD1766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uvedené změny nemohli vykonávat svou stávající práci. </w:t>
      </w:r>
    </w:p>
    <w:p w14:paraId="34782D82" w14:textId="762FBB26" w:rsidR="000808B5" w:rsidRPr="00E64D4A" w:rsidRDefault="00FF68D5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je i vzhledem k systému náročných profesí nutné zachovat kategorii třetí pro tento faktor, neboť se může jednat o jeden z faktorů podmiňující dřívější odchod do důchodu. </w:t>
      </w:r>
    </w:p>
    <w:p w14:paraId="45B5BD08" w14:textId="77777777" w:rsidR="00D846CF" w:rsidRDefault="00D846CF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1BAB9B" w14:textId="286B1A0F" w:rsidR="008131C7" w:rsidRPr="009E0E22" w:rsidRDefault="00E950C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944621">
        <w:rPr>
          <w:rFonts w:ascii="Times New Roman" w:hAnsi="Times New Roman" w:cs="Times New Roman"/>
          <w:b/>
          <w:bCs/>
          <w:sz w:val="24"/>
          <w:szCs w:val="24"/>
          <w:u w:val="single"/>
        </w:rPr>
        <w:t> bodu 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4462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8E7CFF" w:rsidRPr="009E0E22">
        <w:rPr>
          <w:rFonts w:ascii="Times New Roman" w:hAnsi="Times New Roman" w:cs="Times New Roman"/>
          <w:b/>
          <w:bCs/>
          <w:sz w:val="24"/>
          <w:szCs w:val="24"/>
          <w:u w:val="single"/>
        </w:rPr>
        <w:t>§ 3</w:t>
      </w:r>
      <w:r w:rsidR="00A012C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556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odst. 5</w:t>
      </w:r>
      <w:r w:rsidR="0094462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9A3AD53" w14:textId="526DEE6B" w:rsidR="009D0567" w:rsidRPr="00D846CF" w:rsidRDefault="000A5502" w:rsidP="00D846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9E0E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 </w:t>
      </w:r>
      <w:r w:rsidRPr="009E0E22">
        <w:rPr>
          <w:rFonts w:ascii="Times New Roman" w:hAnsi="Times New Roman"/>
          <w:sz w:val="24"/>
        </w:rPr>
        <w:t xml:space="preserve">implementaci směrnice Komise (EU) 2019/1833, kterou se mění přílohy I, III, V a VI směrnice Evropského parlamentu a Rady 2000/54/ES, bylo nutné provést </w:t>
      </w:r>
      <w:r w:rsidR="00D612A2" w:rsidRPr="009E0E22">
        <w:rPr>
          <w:rFonts w:ascii="Times New Roman" w:hAnsi="Times New Roman"/>
          <w:sz w:val="24"/>
        </w:rPr>
        <w:t xml:space="preserve">upřesnění – doplnění, že </w:t>
      </w:r>
      <w:r w:rsidR="000327B1" w:rsidRPr="009E0E22">
        <w:rPr>
          <w:rFonts w:ascii="Times New Roman" w:hAnsi="Times New Roman"/>
          <w:sz w:val="24"/>
        </w:rPr>
        <w:t>při hodnocení rizika biologických činitelů</w:t>
      </w:r>
      <w:r w:rsidR="00F36073" w:rsidRPr="009E0E22">
        <w:rPr>
          <w:rFonts w:ascii="Times New Roman" w:hAnsi="Times New Roman"/>
          <w:sz w:val="24"/>
        </w:rPr>
        <w:t xml:space="preserve"> musí být věnována zvláštní pozornost nebezpečí představovanému biologickým činitelem, o kterém je známo, že je přítomen, nebo je podezření, že může být přítomen u lidí, zvířat nebo v materiálech, které jsou jim odebírány, jakož i dalším rizikům daným povahou práce </w:t>
      </w:r>
      <w:r w:rsidR="009E0E22" w:rsidRPr="009E0E22">
        <w:rPr>
          <w:rFonts w:ascii="Times New Roman" w:hAnsi="Times New Roman"/>
          <w:sz w:val="24"/>
        </w:rPr>
        <w:t>i v zařízeních pracovišť laboratoří, diagnostických laboratořích a v prostorech pro laboratorní zvířata.</w:t>
      </w:r>
    </w:p>
    <w:p w14:paraId="7326FFE8" w14:textId="2814B516" w:rsidR="00505581" w:rsidRPr="008719AF" w:rsidRDefault="00E950C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bodům 9 a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C242D1" w:rsidRPr="00871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</w:t>
      </w:r>
      <w:r w:rsidR="00FE55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odst. 1</w:t>
      </w:r>
      <w:r w:rsidR="00026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2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688418E4" w14:textId="210F79F2" w:rsidR="003C6380" w:rsidRDefault="00026671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odst. 1 došlo ú</w:t>
      </w:r>
      <w:r w:rsidR="008719AF">
        <w:rPr>
          <w:rFonts w:ascii="Times New Roman" w:eastAsia="Times New Roman" w:hAnsi="Times New Roman" w:cs="Times New Roman"/>
          <w:sz w:val="24"/>
          <w:szCs w:val="24"/>
          <w:lang w:eastAsia="cs-CZ"/>
        </w:rPr>
        <w:t>pravou</w:t>
      </w:r>
      <w:r w:rsidR="00B21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narovnání chyby uvedené v předchozí novele</w:t>
      </w:r>
      <w:r w:rsidR="00C744FF">
        <w:rPr>
          <w:rFonts w:ascii="Times New Roman" w:eastAsia="Times New Roman" w:hAnsi="Times New Roman" w:cs="Times New Roman"/>
          <w:sz w:val="24"/>
          <w:szCs w:val="24"/>
          <w:lang w:eastAsia="cs-CZ"/>
        </w:rPr>
        <w:t>, tzn.</w:t>
      </w:r>
      <w:r w:rsidR="00B207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</w:t>
      </w:r>
      <w:r w:rsidR="00721383">
        <w:rPr>
          <w:rFonts w:ascii="Times New Roman" w:eastAsia="Times New Roman" w:hAnsi="Times New Roman" w:cs="Times New Roman"/>
          <w:sz w:val="24"/>
          <w:szCs w:val="24"/>
          <w:lang w:eastAsia="cs-CZ"/>
        </w:rPr>
        <w:t>upraven</w:t>
      </w:r>
      <w:r w:rsidR="00270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2C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správný odkaz </w:t>
      </w:r>
      <w:r w:rsidR="00270E8A">
        <w:rPr>
          <w:rFonts w:ascii="Times New Roman" w:eastAsia="Times New Roman" w:hAnsi="Times New Roman" w:cs="Times New Roman"/>
          <w:sz w:val="24"/>
          <w:szCs w:val="24"/>
          <w:lang w:eastAsia="cs-CZ"/>
        </w:rPr>
        <w:t>na odstavec 5</w:t>
      </w:r>
      <w:r w:rsidR="00A93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659AD4B" w14:textId="7A7285D5" w:rsidR="00026671" w:rsidRDefault="005D1A7C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odst. 2 došlo pouze k úpravě gramatiky. </w:t>
      </w:r>
    </w:p>
    <w:p w14:paraId="7323BC4B" w14:textId="77777777" w:rsidR="008719AF" w:rsidRDefault="008719AF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58BFFC" w14:textId="63D813E8" w:rsidR="00FE55E7" w:rsidRPr="008719AF" w:rsidRDefault="00E950CB" w:rsidP="00FE55E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bodům 11 až 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FE55E7" w:rsidRPr="00871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</w:t>
      </w:r>
      <w:r w:rsidR="00FE55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odst. 3</w:t>
      </w:r>
      <w:r w:rsidR="00264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</w:t>
      </w:r>
      <w:r w:rsidR="001002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4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 w:rsidR="00AB34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14:paraId="0C10D79A" w14:textId="6BC75655" w:rsidR="001C3629" w:rsidRPr="001F0356" w:rsidRDefault="008D7FCA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>Změnou došlo k</w:t>
      </w:r>
      <w:r w:rsidR="00802726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uvedení </w:t>
      </w:r>
      <w:r w:rsidR="0078303D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terminologie (značení veličin</w:t>
      </w:r>
      <w:r w:rsidR="004B581F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činitelů) </w:t>
      </w:r>
      <w:r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>do souladu</w:t>
      </w:r>
      <w:r w:rsidR="003D2A13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802726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D2A13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>normou</w:t>
      </w:r>
      <w:r w:rsidR="00802726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303D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02726" w:rsidRPr="00B30AB8">
        <w:rPr>
          <w:rFonts w:ascii="Times New Roman" w:eastAsia="Times New Roman" w:hAnsi="Times New Roman" w:cs="Times New Roman"/>
          <w:sz w:val="24"/>
          <w:szCs w:val="24"/>
          <w:lang w:eastAsia="cs-CZ"/>
        </w:rPr>
        <w:t>ČSN EN 12464-</w:t>
      </w:r>
      <w:r w:rsidR="0080272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8303D" w:rsidRPr="00B30AB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B581F" w:rsidRPr="00B30A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B581F" w:rsidRPr="001F03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770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došlo k vydefinování, co je pracovním prostorem pro účely tohoto nařízení vlády. Pracovní prostor je funkčně vymezený </w:t>
      </w:r>
      <w:r w:rsidR="00BD6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</w:t>
      </w:r>
      <w:r w:rsidR="00C001B9">
        <w:rPr>
          <w:rFonts w:ascii="Times New Roman" w:eastAsia="Times New Roman" w:hAnsi="Times New Roman" w:cs="Times New Roman"/>
          <w:sz w:val="24"/>
          <w:szCs w:val="24"/>
          <w:lang w:eastAsia="cs-CZ"/>
        </w:rPr>
        <w:t>s trvalou prac</w:t>
      </w:r>
      <w:r w:rsidR="00FB35B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C001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tedy prací delší než 4 hodiny. </w:t>
      </w:r>
    </w:p>
    <w:p w14:paraId="4A990EEC" w14:textId="77777777" w:rsidR="00A269E8" w:rsidRDefault="00A269E8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F63527" w14:textId="605C92DD" w:rsidR="004375AC" w:rsidRPr="00025A11" w:rsidRDefault="00093456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V § 45 odst. 3 písm. b) d</w:t>
      </w:r>
      <w:r w:rsidR="00F76B61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bylo </w:t>
      </w:r>
      <w:r w:rsidR="003D3E6D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doplněno</w:t>
      </w:r>
      <w:r w:rsidR="00D553D6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 w:rsidR="003C2F72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celkové elektrické osvětlení </w:t>
      </w:r>
      <w:r w:rsidR="0065606D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pracovišť</w:t>
      </w:r>
      <w:r w:rsidR="00213799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4D15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hodnoty vyšší</w:t>
      </w:r>
      <w:r w:rsidR="00A02CD8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, než které jsou uvedeny v</w:t>
      </w:r>
      <w:r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tomto </w:t>
      </w:r>
      <w:r w:rsidR="00D4458C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písmenu</w:t>
      </w:r>
      <w:r w:rsidR="00244D15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tak stanovuje česká technická norma (</w:t>
      </w:r>
      <w:r w:rsidR="00052991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ČSN EN 12464-1 Světlo a osvětlení – Osvětlení pracovišť – Část 1: Vnitřní pracoviště). </w:t>
      </w:r>
      <w:r w:rsidR="00F06672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Je to z</w:t>
      </w:r>
      <w:r w:rsidR="003A61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</w:t>
      </w:r>
      <w:r w:rsidR="0067740D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06672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důvodu</w:t>
      </w:r>
      <w:r w:rsidR="0067740D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nedošlo ke snížení osvětlenosti a rovnoměrnosti tam, kde norma požaduje </w:t>
      </w:r>
      <w:r w:rsidR="00051E05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vyšší hodnoty. </w:t>
      </w:r>
    </w:p>
    <w:p w14:paraId="0D779019" w14:textId="77777777" w:rsidR="00A269E8" w:rsidRPr="00025A11" w:rsidRDefault="00A269E8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7CE607" w14:textId="18A88D60" w:rsidR="00BC0CF0" w:rsidRPr="001F0356" w:rsidRDefault="00A73899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§ 45 odst. 4 došlo k upřesnění, že pro pracovní prostor, </w:t>
      </w:r>
      <w:r w:rsidR="00B161C6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němž nelze zajistit denní osvětlení z technických důvodu, se </w:t>
      </w:r>
      <w:r w:rsidR="00ED2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použije sdružené osvětlení </w:t>
      </w:r>
      <w:r w:rsidR="00485E81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za splnění podmínek</w:t>
      </w:r>
      <w:r w:rsidR="00ED2E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stanovených</w:t>
      </w:r>
      <w:r w:rsidR="00485E81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odstavci.</w:t>
      </w:r>
      <w:r w:rsidR="00485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AAE63D0" w14:textId="77777777" w:rsidR="00AB34CD" w:rsidRDefault="00AB34CD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4E04FAB6" w14:textId="2501B428" w:rsidR="00C972D2" w:rsidRDefault="00E950CB" w:rsidP="007E13A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bodu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7E13AC" w:rsidRPr="00871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</w:t>
      </w:r>
      <w:r w:rsidR="007E13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odst. 5 písm. b)</w:t>
      </w:r>
      <w:r w:rsidR="009446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4A05B1C3" w14:textId="76B36479" w:rsidR="00242712" w:rsidRPr="00CA3097" w:rsidRDefault="00CE3E53" w:rsidP="007E13A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Došlo k přesunu </w:t>
      </w:r>
      <w:r w:rsidR="003C1904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textu</w:t>
      </w:r>
      <w:r w:rsidR="00C91A5B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242712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písm.</w:t>
      </w:r>
      <w:r w:rsidR="00CE752C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e) do bodu b)</w:t>
      </w:r>
      <w:r w:rsid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odstavce</w:t>
      </w:r>
      <w:r w:rsidR="00984C9D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91A5B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Důvodem je </w:t>
      </w:r>
      <w:r w:rsidR="00984C9D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sloučení technologických </w:t>
      </w:r>
      <w:r w:rsidR="00E819C8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příkladů</w:t>
      </w:r>
      <w:r w:rsidR="00AC17B0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, k</w:t>
      </w:r>
      <w:r w:rsidR="00383A81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teré vylučují půs</w:t>
      </w:r>
      <w:r w:rsidR="001B347C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C17B0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1B347C" w:rsidRPr="00025A11">
        <w:rPr>
          <w:rFonts w:ascii="Times New Roman" w:eastAsia="Times New Roman" w:hAnsi="Times New Roman" w:cs="Times New Roman"/>
          <w:sz w:val="24"/>
          <w:szCs w:val="24"/>
          <w:lang w:eastAsia="cs-CZ"/>
        </w:rPr>
        <w:t>ení denního světla.</w:t>
      </w:r>
      <w:r w:rsidR="001B347C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A3097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Praxe ukázala, že takové pojetí ve dvou bodech je duplicitní.</w:t>
      </w:r>
    </w:p>
    <w:p w14:paraId="28B22384" w14:textId="77777777" w:rsidR="007E13AC" w:rsidRDefault="007E13AC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ACD61D5" w14:textId="1B1C52B0" w:rsidR="001A2D9F" w:rsidRDefault="00E950CB" w:rsidP="001A2D9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B547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bodům 18 a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B547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1A2D9F" w:rsidRPr="00871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</w:t>
      </w:r>
      <w:r w:rsidR="001A2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odst. 5 </w:t>
      </w:r>
      <w:r w:rsidR="00E109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písm. c) a </w:t>
      </w:r>
      <w:r w:rsidR="001A2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nové písm. d)</w:t>
      </w:r>
      <w:r w:rsidR="00B547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1F9E600C" w14:textId="00C55737" w:rsidR="00AB34CD" w:rsidRDefault="00681783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Vloženo bylo nově</w:t>
      </w:r>
      <w:r w:rsidR="000C5DC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d)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C5DC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upravuj</w:t>
      </w:r>
      <w:r w:rsidR="00E109CE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7A0EC1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pracoviště, </w:t>
      </w:r>
      <w:r w:rsidR="00D97E1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jehož účel </w:t>
      </w:r>
      <w:r w:rsidR="008A0C5E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>neumožňuj</w:t>
      </w:r>
      <w:r w:rsidR="008A0C5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97E1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zřídit </w:t>
      </w:r>
      <w:r w:rsidR="00D154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dostatečný </w:t>
      </w:r>
      <w:r w:rsidR="00D97E1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nebo dostatečnou velikost osvětlovacích otvorů</w:t>
      </w:r>
      <w:r w:rsidR="005E6B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tzn., není možné zajistit </w:t>
      </w:r>
      <w:r w:rsidR="000F31E1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>vyhovující denní osvětlení nebo sdružené osvětlení</w:t>
      </w:r>
      <w:r w:rsidR="00A32AFF">
        <w:rPr>
          <w:rFonts w:ascii="Times New Roman" w:eastAsia="Times New Roman" w:hAnsi="Times New Roman" w:cs="Times New Roman"/>
          <w:sz w:val="24"/>
          <w:szCs w:val="24"/>
          <w:lang w:eastAsia="cs-CZ"/>
        </w:rPr>
        <w:t>. K</w:t>
      </w:r>
      <w:r w:rsidR="00596DCF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onkrétně se </w:t>
      </w:r>
      <w:r w:rsidR="00D97E1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</w:t>
      </w:r>
      <w:r w:rsidR="00596DCF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97E1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pracoviště za účelem obrany státu v</w:t>
      </w:r>
      <w:r w:rsidR="00824C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97E1C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režimu vyššího stupně zabezpečení. </w:t>
      </w:r>
    </w:p>
    <w:p w14:paraId="6FAEC70B" w14:textId="15446E00" w:rsidR="001A2D9F" w:rsidRPr="00ED2CBC" w:rsidRDefault="00681783" w:rsidP="00ED2CBC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062C7B" w:rsidRPr="003F3566">
        <w:rPr>
          <w:rFonts w:ascii="Times New Roman" w:eastAsia="Times New Roman" w:hAnsi="Times New Roman" w:cs="Times New Roman"/>
          <w:sz w:val="24"/>
          <w:szCs w:val="24"/>
          <w:lang w:eastAsia="cs-CZ"/>
        </w:rPr>
        <w:t>ůvodně se jednalo o druhou část písm. c)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</w:t>
      </w:r>
      <w:r w:rsidR="00625F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odstavce, ovšem </w:t>
      </w:r>
      <w:r w:rsidR="00062C7B" w:rsidRPr="00062C7B">
        <w:rPr>
          <w:rFonts w:ascii="Times New Roman" w:eastAsia="Times New Roman" w:hAnsi="Times New Roman" w:cs="Times New Roman"/>
          <w:sz w:val="24"/>
          <w:szCs w:val="24"/>
          <w:lang w:eastAsia="cs-CZ"/>
        </w:rPr>
        <w:t>věta za středníkem navoz</w:t>
      </w:r>
      <w:r w:rsidR="00625F6A">
        <w:rPr>
          <w:rFonts w:ascii="Times New Roman" w:eastAsia="Times New Roman" w:hAnsi="Times New Roman" w:cs="Times New Roman"/>
          <w:sz w:val="24"/>
          <w:szCs w:val="24"/>
          <w:lang w:eastAsia="cs-CZ"/>
        </w:rPr>
        <w:t>ovala</w:t>
      </w:r>
      <w:r w:rsidR="00062C7B" w:rsidRPr="00062C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dojem, že i předchozí část věty se vztahuje na pracoviště vybudované za účelem obrany státu. </w:t>
      </w:r>
      <w:r w:rsidR="00B37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některé konstrukční požadavky hal </w:t>
      </w:r>
      <w:r w:rsidR="00880D44">
        <w:rPr>
          <w:rFonts w:ascii="Times New Roman" w:eastAsia="Times New Roman" w:hAnsi="Times New Roman" w:cs="Times New Roman"/>
          <w:sz w:val="24"/>
          <w:szCs w:val="24"/>
          <w:lang w:eastAsia="cs-CZ"/>
        </w:rPr>
        <w:t>neumož</w:t>
      </w:r>
      <w:r w:rsidR="00423DBA">
        <w:rPr>
          <w:rFonts w:ascii="Times New Roman" w:eastAsia="Times New Roman" w:hAnsi="Times New Roman" w:cs="Times New Roman"/>
          <w:sz w:val="24"/>
          <w:szCs w:val="24"/>
          <w:lang w:eastAsia="cs-CZ"/>
        </w:rPr>
        <w:t>ňují z </w:t>
      </w:r>
      <w:r w:rsidR="007A4990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bezpečnostních</w:t>
      </w:r>
      <w:r w:rsidR="00423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důvodů zřídit dostačující počet </w:t>
      </w:r>
      <w:r w:rsidR="007A41B9">
        <w:rPr>
          <w:rFonts w:ascii="Times New Roman" w:eastAsia="Times New Roman" w:hAnsi="Times New Roman" w:cs="Times New Roman"/>
          <w:sz w:val="24"/>
          <w:szCs w:val="24"/>
          <w:lang w:eastAsia="cs-CZ"/>
        </w:rPr>
        <w:t>nebo dostatečnou velikost osvětlovacích otvorů</w:t>
      </w:r>
      <w:r w:rsidR="00910F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Může se jednat také </w:t>
      </w:r>
      <w:r w:rsidR="00DB0C4A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80B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B0C4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případy</w:t>
      </w:r>
      <w:r w:rsidR="00741725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je hala postavena jako vícepodlažní objekt, technolo</w:t>
      </w:r>
      <w:r w:rsidR="005F3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gie musí být umístěna v horním patře a pracoviště pod ní není možné osvítit denním světlem </w:t>
      </w:r>
      <w:r w:rsidR="00017B2D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lakovna)</w:t>
      </w:r>
      <w:r w:rsidR="005329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 hale musí být dopravníky a další technologie umístěné nad pracovními místy, které nepropustí</w:t>
      </w:r>
      <w:r w:rsidR="001A71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denní světlo až k zaměstnanci </w:t>
      </w:r>
      <w:r w:rsidR="00BF22F6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svařovna, montáže)</w:t>
      </w:r>
      <w:r w:rsidR="00367E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671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227778" w14:textId="77777777" w:rsidR="001A2D9F" w:rsidRDefault="001A2D9F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7125B8A5" w14:textId="1FBCDF42" w:rsidR="00AB34CD" w:rsidRDefault="00E950CB" w:rsidP="00AB34C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2E4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bodu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2E4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AB34CD" w:rsidRPr="008719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</w:t>
      </w:r>
      <w:r w:rsidR="00AB34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odst. </w:t>
      </w:r>
      <w:r w:rsidR="00F64D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</w:t>
      </w:r>
      <w:r w:rsidR="002E4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6D8E7FE8" w14:textId="0FF2DFD7" w:rsidR="002E1D66" w:rsidRDefault="002E1D66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důvodu aplikační praxe, kdy zaměstnavatel byl povinen zajistit, aby práce na nově zřizovaných pracovištích, jež má nevyhovující denní osvětlení, měl s orgánem ochrany veřejného zdraví uzavřít písemnou dohodu, bylo velmi komplikované, bylo od této povinnosti upuštěno, neboť </w:t>
      </w:r>
      <w:r w:rsidRPr="00EB4CF1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 ochrany</w:t>
      </w:r>
      <w:r w:rsidR="00D374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veřejného</w:t>
      </w:r>
      <w:r w:rsidRPr="00EB4C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zdraví není k tomuto kompetentní. Zákon č.</w:t>
      </w:r>
      <w:r w:rsidR="008946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4CF1">
        <w:rPr>
          <w:rFonts w:ascii="Times New Roman" w:eastAsia="Times New Roman" w:hAnsi="Times New Roman" w:cs="Times New Roman"/>
          <w:sz w:val="24"/>
          <w:szCs w:val="24"/>
          <w:lang w:eastAsia="cs-CZ"/>
        </w:rPr>
        <w:t>500/2004 Sb., správní řád, ve znění pozdějších předpisů, nezná tuto formu správní činnosti. Tato kompetence není pro orgány ochrany veřejného zdraví stanovena ani v zákoně č. 258/2000 Sb., o ochraně veřejného zdraví a o změně některých souvisejících zákonů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EB4CF1">
        <w:rPr>
          <w:rFonts w:ascii="Times New Roman" w:eastAsia="Times New Roman" w:hAnsi="Times New Roman" w:cs="Times New Roman"/>
          <w:sz w:val="24"/>
          <w:szCs w:val="24"/>
          <w:lang w:eastAsia="cs-CZ"/>
        </w:rPr>
        <w:t>. V praxi se tato povinnost uzavírat dohody projevila jako velmi problematická, a proto došlo k jejímu vypuštění.</w:t>
      </w:r>
    </w:p>
    <w:p w14:paraId="16EEA098" w14:textId="1D44A584" w:rsidR="00514500" w:rsidRDefault="002E1D66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vzhledem k novému písm. v odst. 5 došlo k úpravě – legislativně-technická úprava.</w:t>
      </w:r>
    </w:p>
    <w:p w14:paraId="336CB599" w14:textId="77777777" w:rsidR="002E1D66" w:rsidRDefault="002E1D66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507202" w14:textId="5D0E792F" w:rsidR="006E7172" w:rsidRDefault="00E950C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2E4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bodu 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2E4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6E7172" w:rsidRPr="006E71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 odst. 7</w:t>
      </w:r>
      <w:r w:rsidR="002E4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302AD278" w14:textId="5C9625AF" w:rsidR="00870D06" w:rsidRPr="00870D06" w:rsidRDefault="00E37DEA" w:rsidP="00870D0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7DEA">
        <w:rPr>
          <w:rFonts w:ascii="Times New Roman" w:eastAsia="Times New Roman" w:hAnsi="Times New Roman" w:cs="Times New Roman"/>
          <w:sz w:val="24"/>
          <w:szCs w:val="24"/>
          <w:lang w:eastAsia="cs-CZ"/>
        </w:rPr>
        <w:t>Legi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37DEA">
        <w:rPr>
          <w:rFonts w:ascii="Times New Roman" w:eastAsia="Times New Roman" w:hAnsi="Times New Roman" w:cs="Times New Roman"/>
          <w:sz w:val="24"/>
          <w:szCs w:val="24"/>
          <w:lang w:eastAsia="cs-CZ"/>
        </w:rPr>
        <w:t>lativně technická úprava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1E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správně </w:t>
      </w:r>
      <w:r w:rsidR="00AE364C">
        <w:rPr>
          <w:rFonts w:ascii="Times New Roman" w:eastAsia="Times New Roman" w:hAnsi="Times New Roman" w:cs="Times New Roman"/>
          <w:sz w:val="24"/>
          <w:szCs w:val="24"/>
          <w:lang w:eastAsia="cs-CZ"/>
        </w:rPr>
        <w:t>napsané veličiny udržované osvětlenosti a</w:t>
      </w:r>
      <w:r w:rsidR="008946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4412D">
        <w:rPr>
          <w:rFonts w:ascii="Times New Roman" w:eastAsia="Times New Roman" w:hAnsi="Times New Roman" w:cs="Times New Roman"/>
          <w:sz w:val="24"/>
          <w:szCs w:val="24"/>
          <w:lang w:eastAsia="cs-CZ"/>
        </w:rPr>
        <w:t>rovnoměrnosti osvětlení.</w:t>
      </w:r>
      <w:r w:rsidRPr="00E37D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6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byla upravena specifikace </w:t>
      </w:r>
      <w:r w:rsidR="00870D06" w:rsidRPr="00870D06">
        <w:rPr>
          <w:rFonts w:ascii="Times New Roman" w:eastAsia="Times New Roman" w:hAnsi="Times New Roman" w:cs="Times New Roman"/>
          <w:sz w:val="24"/>
          <w:szCs w:val="24"/>
          <w:lang w:eastAsia="cs-CZ"/>
        </w:rPr>
        <w:t>normov</w:t>
      </w:r>
      <w:r w:rsidR="00107F5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70D06" w:rsidRPr="00870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hodnot</w:t>
      </w:r>
      <w:r w:rsidR="00107F5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70D06" w:rsidRPr="00870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07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neboť </w:t>
      </w:r>
      <w:r w:rsidR="00864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rozlišujeme </w:t>
      </w:r>
      <w:r w:rsidR="00107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dvě </w:t>
      </w:r>
      <w:r w:rsidR="00870D06" w:rsidRPr="004701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</w:t>
      </w:r>
      <w:r w:rsidR="00870D06" w:rsidRPr="004701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m, požadovaná </w:t>
      </w:r>
      <w:r w:rsidR="00870D06" w:rsidRPr="00870D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870D06" w:rsidRPr="004701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</w:t>
      </w:r>
      <w:r w:rsidR="00870D06" w:rsidRPr="004701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</w:t>
      </w:r>
      <w:r w:rsidR="00C369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,</w:t>
      </w:r>
      <w:r w:rsidR="00870D06" w:rsidRPr="004701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upravená</w:t>
      </w:r>
      <w:r w:rsidR="00870D06" w:rsidRPr="00870D0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956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60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byly doplněny </w:t>
      </w:r>
      <w:r w:rsidR="00FF08E8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hodnoty válcové osvětlenosti, osvětlenosti stěn a stropů</w:t>
      </w:r>
      <w:r w:rsidR="00F46C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jež jsou upraveny </w:t>
      </w:r>
      <w:r w:rsidR="000709DA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v české technické normě</w:t>
      </w:r>
      <w:r w:rsidR="007F4F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4F50" w:rsidRPr="007F4F50">
        <w:rPr>
          <w:rFonts w:ascii="Times New Roman" w:eastAsia="Times New Roman" w:hAnsi="Times New Roman" w:cs="Times New Roman"/>
          <w:sz w:val="24"/>
          <w:szCs w:val="24"/>
          <w:lang w:eastAsia="cs-CZ"/>
        </w:rPr>
        <w:t>ČSN EN 12464-1 Světlo a osvětlení – Osvětlení pracovišť – Část 1: Vnitřní pracoviště</w:t>
      </w:r>
      <w:r w:rsidR="000709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C61C7C5" w14:textId="77777777" w:rsidR="00FE55E7" w:rsidRDefault="00FE55E7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4850430" w14:textId="6E65697E" w:rsidR="008719AF" w:rsidRDefault="00E950C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2E46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 bodu 22 až </w:t>
      </w:r>
      <w:r w:rsidR="00B17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B17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8719AF" w:rsidRPr="00C242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45a</w:t>
      </w:r>
      <w:r w:rsidR="00B17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766DF058" w14:textId="62D059C8" w:rsidR="00EE4282" w:rsidRDefault="00EE4282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§ 45a odst. 1 je </w:t>
      </w:r>
      <w:r w:rsidR="0073188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 požadavek</w:t>
      </w:r>
      <w:r w:rsidR="0038309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318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5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kterých </w:t>
      </w:r>
      <w:r w:rsidR="00E727F8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prostorech s nevyhovujícím denním osvětlením musí být z</w:t>
      </w:r>
      <w:r w:rsidR="002A3223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</w:t>
      </w:r>
      <w:r w:rsidR="009B6A1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A32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denní místnost </w:t>
      </w:r>
      <w:r w:rsidR="002A3223">
        <w:rPr>
          <w:rFonts w:ascii="Times New Roman" w:eastAsia="Times New Roman" w:hAnsi="Times New Roman" w:cs="Times New Roman"/>
          <w:sz w:val="24"/>
          <w:szCs w:val="24"/>
          <w:lang w:eastAsia="cs-CZ"/>
        </w:rPr>
        <w:t>pro odpo</w:t>
      </w:r>
      <w:r w:rsidR="0038309F">
        <w:rPr>
          <w:rFonts w:ascii="Times New Roman" w:eastAsia="Times New Roman" w:hAnsi="Times New Roman" w:cs="Times New Roman"/>
          <w:sz w:val="24"/>
          <w:szCs w:val="24"/>
          <w:lang w:eastAsia="cs-CZ"/>
        </w:rPr>
        <w:t>činek</w:t>
      </w:r>
      <w:r w:rsidR="009B6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D2525F">
        <w:rPr>
          <w:rFonts w:ascii="Times New Roman" w:eastAsia="Times New Roman" w:hAnsi="Times New Roman" w:cs="Times New Roman"/>
          <w:sz w:val="24"/>
          <w:szCs w:val="24"/>
          <w:lang w:eastAsia="cs-CZ"/>
        </w:rPr>
        <w:t> vyhovujícím denním osvětlením</w:t>
      </w:r>
      <w:r w:rsidR="003830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D7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027A13" w14:textId="07309C3F" w:rsidR="00CB67CA" w:rsidRPr="007D71E8" w:rsidRDefault="00A3197A" w:rsidP="00AC3DE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došlo k </w:t>
      </w:r>
      <w:r w:rsidR="000C2705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přesnění, </w:t>
      </w:r>
      <w:r w:rsidR="00CB67CA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aby bylo zřejmé, ž</w:t>
      </w:r>
      <w:r w:rsidR="006D1423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e zřízení místnosti pro odpočinek vypl</w:t>
      </w:r>
      <w:r w:rsidR="00AC3DE5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ývá i</w:t>
      </w:r>
      <w:r w:rsidR="0089467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6092C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AC3DE5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dle jiných požadavků</w:t>
      </w:r>
      <w:r w:rsidR="003B755A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, než jen že jsou zřízeny pro p</w:t>
      </w:r>
      <w:r w:rsidR="007302E6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racoviště s nevyhovujícím denním osvětlením podle </w:t>
      </w:r>
      <w:r w:rsidR="00EC5CCD" w:rsidRP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§ 45 odst. 4 a 5.</w:t>
      </w:r>
    </w:p>
    <w:p w14:paraId="25E564D2" w14:textId="77777777" w:rsidR="001D5123" w:rsidRDefault="001D5123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72AA554E" w14:textId="4FB33EDE" w:rsidR="00EE4282" w:rsidRPr="00EE4282" w:rsidRDefault="00EE4282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67B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odst. 2 </w:t>
      </w:r>
      <w:r w:rsidR="00007F80" w:rsidRPr="00667B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došlo </w:t>
      </w:r>
      <w:r w:rsidR="00EE0F49" w:rsidRPr="00667B80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C326E" w:rsidRPr="00667B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přečíslování chybně uvedených </w:t>
      </w:r>
      <w:r w:rsidR="00667B80" w:rsidRPr="00667B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čísel odstavců. </w:t>
      </w:r>
    </w:p>
    <w:p w14:paraId="17804283" w14:textId="77777777" w:rsidR="001D5123" w:rsidRDefault="001D5123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0B977C90" w14:textId="313A1CA3" w:rsidR="00EE4282" w:rsidRPr="004D1021" w:rsidRDefault="00082454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021">
        <w:rPr>
          <w:rFonts w:ascii="Times New Roman" w:eastAsia="Times New Roman" w:hAnsi="Times New Roman" w:cs="Times New Roman"/>
          <w:sz w:val="24"/>
          <w:szCs w:val="24"/>
          <w:lang w:eastAsia="cs-CZ"/>
        </w:rPr>
        <w:t>V o</w:t>
      </w:r>
      <w:r w:rsidR="00EE4282" w:rsidRPr="004D1021">
        <w:rPr>
          <w:rFonts w:ascii="Times New Roman" w:eastAsia="Times New Roman" w:hAnsi="Times New Roman" w:cs="Times New Roman"/>
          <w:sz w:val="24"/>
          <w:szCs w:val="24"/>
          <w:lang w:eastAsia="cs-CZ"/>
        </w:rPr>
        <w:t>dst. 3</w:t>
      </w:r>
      <w:r w:rsidR="00422D5D" w:rsidRPr="004D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došlo k</w:t>
      </w:r>
      <w:r w:rsidR="004D1021" w:rsidRPr="004D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upřesnění formulace. </w:t>
      </w:r>
    </w:p>
    <w:p w14:paraId="567F3C1C" w14:textId="77777777" w:rsidR="001D5123" w:rsidRDefault="001D5123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3D8B675" w14:textId="7D3CAC78" w:rsidR="00645925" w:rsidRDefault="00EE4282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odst. 4 </w:t>
      </w:r>
      <w:r w:rsidR="008C458B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došlo k rozšíření </w:t>
      </w:r>
      <w:r w:rsidR="00D56187">
        <w:rPr>
          <w:rFonts w:ascii="Times New Roman" w:eastAsia="Times New Roman" w:hAnsi="Times New Roman" w:cs="Times New Roman"/>
          <w:sz w:val="24"/>
          <w:szCs w:val="24"/>
          <w:lang w:eastAsia="cs-CZ"/>
        </w:rPr>
        <w:t>okruhu subjektů</w:t>
      </w:r>
      <w:r w:rsidR="008C458B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56187">
        <w:rPr>
          <w:rFonts w:ascii="Times New Roman" w:eastAsia="Times New Roman" w:hAnsi="Times New Roman" w:cs="Times New Roman"/>
          <w:sz w:val="24"/>
          <w:szCs w:val="24"/>
          <w:lang w:eastAsia="cs-CZ"/>
        </w:rPr>
        <w:t>kteří</w:t>
      </w:r>
      <w:r w:rsidR="008C458B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6187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r w:rsidR="008C458B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provést po realizaci projektu </w:t>
      </w:r>
      <w:r w:rsidR="007B3D8F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331F3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7B3D8F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ření </w:t>
      </w:r>
      <w:r w:rsidR="008331F3" w:rsidRP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postupy popsanými v českých technických normách upravujících měření elektrického osvětlení</w:t>
      </w:r>
      <w:r w:rsidR="008331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Nově toto měření může provádět </w:t>
      </w:r>
      <w:r w:rsidR="00AE1B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autorizovaná laboratoř nebo </w:t>
      </w:r>
      <w:r w:rsidR="00471EA2" w:rsidRPr="00471EA2">
        <w:rPr>
          <w:rFonts w:ascii="Times New Roman" w:eastAsia="Times New Roman" w:hAnsi="Times New Roman" w:cs="Times New Roman"/>
          <w:sz w:val="24"/>
          <w:szCs w:val="24"/>
          <w:lang w:eastAsia="cs-CZ"/>
        </w:rPr>
        <w:t>držitel osvědčení o odborné způsobilosti v oboru fotometrie</w:t>
      </w:r>
      <w:r w:rsidR="00471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470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lze </w:t>
      </w:r>
      <w:r w:rsidR="00447094">
        <w:rPr>
          <w:rFonts w:ascii="Times New Roman" w:hAnsi="Times New Roman" w:cs="Times New Roman"/>
          <w:sz w:val="24"/>
          <w:szCs w:val="24"/>
        </w:rPr>
        <w:t>o</w:t>
      </w:r>
      <w:r w:rsidR="00255C0B" w:rsidRPr="00CA3097">
        <w:rPr>
          <w:rFonts w:ascii="Times New Roman" w:hAnsi="Times New Roman" w:cs="Times New Roman"/>
          <w:sz w:val="24"/>
          <w:szCs w:val="24"/>
        </w:rPr>
        <w:t>d požadavku na měření ustoupit</w:t>
      </w:r>
      <w:r w:rsidR="00D773CC">
        <w:rPr>
          <w:rFonts w:ascii="Times New Roman" w:hAnsi="Times New Roman" w:cs="Times New Roman"/>
          <w:sz w:val="24"/>
          <w:szCs w:val="24"/>
        </w:rPr>
        <w:t>, a to za předpokladu</w:t>
      </w:r>
      <w:r w:rsidR="00255C0B" w:rsidRPr="00CA3097">
        <w:rPr>
          <w:rFonts w:ascii="Times New Roman" w:hAnsi="Times New Roman" w:cs="Times New Roman"/>
          <w:sz w:val="24"/>
          <w:szCs w:val="24"/>
        </w:rPr>
        <w:t>, kdy typy a rozmístění svítidel uvedených v návrhu osvětlení se prokazatelně shodují s instalovanou osvětlovací soustavou.</w:t>
      </w:r>
      <w:r w:rsidR="003E729B">
        <w:rPr>
          <w:rFonts w:ascii="Times New Roman" w:hAnsi="Times New Roman" w:cs="Times New Roman"/>
          <w:sz w:val="24"/>
          <w:szCs w:val="24"/>
        </w:rPr>
        <w:t xml:space="preserve"> To je plně v kompetenci vyhodnocení </w:t>
      </w:r>
      <w:r w:rsidR="00EE1077">
        <w:rPr>
          <w:rFonts w:ascii="Times New Roman" w:hAnsi="Times New Roman" w:cs="Times New Roman"/>
          <w:sz w:val="24"/>
          <w:szCs w:val="24"/>
        </w:rPr>
        <w:t>pracovníka krajské hygienické stanice, který k tomu může požadovat doložení další dokumentace (technické zprávy svítidel aj.)</w:t>
      </w:r>
      <w:r w:rsidR="00255C0B" w:rsidRPr="00CA3097">
        <w:rPr>
          <w:rFonts w:ascii="Times New Roman" w:hAnsi="Times New Roman" w:cs="Times New Roman"/>
          <w:sz w:val="24"/>
          <w:szCs w:val="24"/>
        </w:rPr>
        <w:t xml:space="preserve"> Zároveň se požaduje, aby vypočítaná udržovaná osvětlenost </w:t>
      </w:r>
      <w:proofErr w:type="spellStart"/>
      <w:r w:rsidR="00255C0B" w:rsidRPr="00CA3097">
        <w:rPr>
          <w:rFonts w:ascii="Times New Roman" w:hAnsi="Times New Roman" w:cs="Times New Roman"/>
          <w:b/>
          <w:bCs/>
          <w:i/>
          <w:sz w:val="24"/>
          <w:szCs w:val="24"/>
        </w:rPr>
        <w:t>Ē</w:t>
      </w:r>
      <w:r w:rsidR="00255C0B" w:rsidRPr="00CA309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proofErr w:type="spellEnd"/>
      <w:r w:rsidR="00255C0B" w:rsidRPr="00CA3097">
        <w:rPr>
          <w:rFonts w:ascii="Times New Roman" w:hAnsi="Times New Roman" w:cs="Times New Roman"/>
          <w:sz w:val="24"/>
          <w:szCs w:val="24"/>
        </w:rPr>
        <w:t xml:space="preserve"> ≥ </w:t>
      </w:r>
      <w:r w:rsidR="00255C0B" w:rsidRPr="001C6C1C">
        <w:rPr>
          <w:rFonts w:ascii="Times New Roman" w:hAnsi="Times New Roman" w:cs="Times New Roman"/>
          <w:sz w:val="24"/>
          <w:szCs w:val="24"/>
        </w:rPr>
        <w:t>1,</w:t>
      </w:r>
      <w:r w:rsidR="001C6C1C" w:rsidRPr="001C6C1C">
        <w:rPr>
          <w:rFonts w:ascii="Times New Roman" w:hAnsi="Times New Roman" w:cs="Times New Roman"/>
          <w:sz w:val="24"/>
          <w:szCs w:val="24"/>
        </w:rPr>
        <w:t>2násobku</w:t>
      </w:r>
      <w:r w:rsidR="00255C0B" w:rsidRPr="00CA3097">
        <w:rPr>
          <w:rFonts w:ascii="Times New Roman" w:hAnsi="Times New Roman" w:cs="Times New Roman"/>
          <w:sz w:val="24"/>
          <w:szCs w:val="24"/>
        </w:rPr>
        <w:t xml:space="preserve"> udržované </w:t>
      </w:r>
      <w:r w:rsidR="002E4664">
        <w:rPr>
          <w:rFonts w:ascii="Times New Roman" w:hAnsi="Times New Roman" w:cs="Times New Roman"/>
          <w:sz w:val="24"/>
          <w:szCs w:val="24"/>
        </w:rPr>
        <w:t xml:space="preserve">osvětlenosti </w:t>
      </w:r>
      <w:proofErr w:type="spellStart"/>
      <w:r w:rsidR="00255C0B" w:rsidRPr="00CA3097">
        <w:rPr>
          <w:rFonts w:ascii="Times New Roman" w:hAnsi="Times New Roman" w:cs="Times New Roman"/>
          <w:b/>
          <w:bCs/>
          <w:i/>
          <w:sz w:val="24"/>
          <w:szCs w:val="24"/>
        </w:rPr>
        <w:t>Ē</w:t>
      </w:r>
      <w:r w:rsidR="00255C0B" w:rsidRPr="00CA309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proofErr w:type="spellEnd"/>
      <w:r w:rsidR="00255C0B" w:rsidRPr="00CA3097">
        <w:rPr>
          <w:rFonts w:ascii="Times New Roman" w:hAnsi="Times New Roman" w:cs="Times New Roman"/>
          <w:sz w:val="24"/>
          <w:szCs w:val="24"/>
        </w:rPr>
        <w:t xml:space="preserve"> požadované českou technickou normou</w:t>
      </w:r>
      <w:r w:rsidR="00255C0B" w:rsidRPr="00CA3097">
        <w:rPr>
          <w:rFonts w:ascii="Times New Roman" w:hAnsi="Times New Roman" w:cs="Times New Roman"/>
          <w:sz w:val="24"/>
          <w:szCs w:val="24"/>
          <w:vertAlign w:val="superscript"/>
        </w:rPr>
        <w:t>18)</w:t>
      </w:r>
      <w:r w:rsidR="00255C0B" w:rsidRPr="00CA3097">
        <w:rPr>
          <w:rFonts w:ascii="Times New Roman" w:hAnsi="Times New Roman" w:cs="Times New Roman"/>
          <w:sz w:val="24"/>
          <w:szCs w:val="24"/>
        </w:rPr>
        <w:t xml:space="preserve"> pro konkrétní zrakový úkol a činnos</w:t>
      </w:r>
      <w:r w:rsidR="0088626F">
        <w:rPr>
          <w:rFonts w:ascii="Times New Roman" w:hAnsi="Times New Roman" w:cs="Times New Roman"/>
          <w:sz w:val="24"/>
          <w:szCs w:val="24"/>
        </w:rPr>
        <w:t xml:space="preserve">t. Tento postup je vhodný pro </w:t>
      </w:r>
      <w:r w:rsidR="002F3734">
        <w:rPr>
          <w:rFonts w:ascii="Times New Roman" w:hAnsi="Times New Roman" w:cs="Times New Roman"/>
          <w:sz w:val="24"/>
          <w:szCs w:val="24"/>
        </w:rPr>
        <w:lastRenderedPageBreak/>
        <w:t xml:space="preserve">pracoviště, na nichž je vykonávána pouze jedna činnost a této činnosti odpovídá </w:t>
      </w:r>
      <w:r w:rsidR="0065553D">
        <w:rPr>
          <w:rFonts w:ascii="Times New Roman" w:hAnsi="Times New Roman" w:cs="Times New Roman"/>
          <w:sz w:val="24"/>
          <w:szCs w:val="24"/>
        </w:rPr>
        <w:t>navržená osvětlenost. Ovšem pro některá pracoviště (např. ve velkých halách)</w:t>
      </w:r>
      <w:r w:rsidR="00A960A3">
        <w:rPr>
          <w:rFonts w:ascii="Times New Roman" w:hAnsi="Times New Roman" w:cs="Times New Roman"/>
          <w:sz w:val="24"/>
          <w:szCs w:val="24"/>
        </w:rPr>
        <w:t xml:space="preserve">, kde dochází ke křížení činnosti, uvedený postup není doporučen. </w:t>
      </w:r>
    </w:p>
    <w:p w14:paraId="464431CA" w14:textId="1BB179D2" w:rsidR="001D5123" w:rsidRDefault="009863E2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požadavku</w:t>
      </w:r>
      <w:r w:rsidRPr="009863E2">
        <w:rPr>
          <w:rFonts w:ascii="Times New Roman" w:hAnsi="Times New Roman" w:cs="Times New Roman"/>
          <w:sz w:val="24"/>
          <w:szCs w:val="24"/>
        </w:rPr>
        <w:t xml:space="preserve"> </w:t>
      </w:r>
      <w:r w:rsidRPr="00C8105B">
        <w:rPr>
          <w:rFonts w:ascii="Times New Roman" w:hAnsi="Times New Roman" w:cs="Times New Roman"/>
          <w:sz w:val="24"/>
          <w:szCs w:val="24"/>
        </w:rPr>
        <w:t xml:space="preserve">udržovaná osvětlenost </w:t>
      </w:r>
      <w:proofErr w:type="spellStart"/>
      <w:r w:rsidRPr="00C8105B">
        <w:rPr>
          <w:rFonts w:ascii="Times New Roman" w:hAnsi="Times New Roman" w:cs="Times New Roman"/>
          <w:b/>
          <w:bCs/>
          <w:i/>
          <w:sz w:val="24"/>
          <w:szCs w:val="24"/>
        </w:rPr>
        <w:t>Ē</w:t>
      </w:r>
      <w:r w:rsidRPr="00C8105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proofErr w:type="spellEnd"/>
      <w:r w:rsidRPr="00C8105B">
        <w:rPr>
          <w:rFonts w:ascii="Times New Roman" w:hAnsi="Times New Roman" w:cs="Times New Roman"/>
          <w:sz w:val="24"/>
          <w:szCs w:val="24"/>
        </w:rPr>
        <w:t xml:space="preserve"> ≥ </w:t>
      </w:r>
      <w:r w:rsidRPr="001C6C1C">
        <w:rPr>
          <w:rFonts w:ascii="Times New Roman" w:hAnsi="Times New Roman" w:cs="Times New Roman"/>
          <w:sz w:val="24"/>
          <w:szCs w:val="24"/>
        </w:rPr>
        <w:t>1,2násobku</w:t>
      </w:r>
      <w:r w:rsidRPr="00C8105B">
        <w:rPr>
          <w:rFonts w:ascii="Times New Roman" w:hAnsi="Times New Roman" w:cs="Times New Roman"/>
          <w:sz w:val="24"/>
          <w:szCs w:val="24"/>
        </w:rPr>
        <w:t xml:space="preserve"> udržované </w:t>
      </w:r>
      <w:r w:rsidR="004A4DE5">
        <w:rPr>
          <w:rFonts w:ascii="Times New Roman" w:hAnsi="Times New Roman" w:cs="Times New Roman"/>
          <w:sz w:val="24"/>
          <w:szCs w:val="24"/>
        </w:rPr>
        <w:t xml:space="preserve">osvětlenosti </w:t>
      </w:r>
      <w:proofErr w:type="spellStart"/>
      <w:r w:rsidRPr="00C8105B">
        <w:rPr>
          <w:rFonts w:ascii="Times New Roman" w:hAnsi="Times New Roman" w:cs="Times New Roman"/>
          <w:b/>
          <w:bCs/>
          <w:i/>
          <w:sz w:val="24"/>
          <w:szCs w:val="24"/>
        </w:rPr>
        <w:t>Ē</w:t>
      </w:r>
      <w:r w:rsidRPr="00C8105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proofErr w:type="spellEnd"/>
      <w:r w:rsidRPr="00C8105B">
        <w:rPr>
          <w:rFonts w:ascii="Times New Roman" w:hAnsi="Times New Roman" w:cs="Times New Roman"/>
          <w:sz w:val="24"/>
          <w:szCs w:val="24"/>
        </w:rPr>
        <w:t xml:space="preserve"> požadované</w:t>
      </w:r>
      <w:r w:rsidR="002458B6">
        <w:rPr>
          <w:rFonts w:ascii="Times New Roman" w:hAnsi="Times New Roman" w:cs="Times New Roman"/>
          <w:sz w:val="24"/>
          <w:szCs w:val="24"/>
        </w:rPr>
        <w:t xml:space="preserve"> normou vycházelo z předpokladu, že u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 provozního měření se běžně pracuje s nejistotou 10 %. V případě, </w:t>
      </w:r>
      <w:r w:rsidR="008C0E3A">
        <w:rPr>
          <w:rFonts w:ascii="Times New Roman" w:hAnsi="Times New Roman" w:cs="Times New Roman"/>
          <w:sz w:val="24"/>
          <w:szCs w:val="24"/>
        </w:rPr>
        <w:t>kdy je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 naměřeno např. 550 </w:t>
      </w:r>
      <w:proofErr w:type="spellStart"/>
      <w:r w:rsidR="00645925" w:rsidRPr="00645925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645925" w:rsidRPr="00645925">
        <w:rPr>
          <w:rFonts w:ascii="Times New Roman" w:hAnsi="Times New Roman" w:cs="Times New Roman"/>
          <w:sz w:val="24"/>
          <w:szCs w:val="24"/>
        </w:rPr>
        <w:t xml:space="preserve"> a požadavek normy je na 500 </w:t>
      </w:r>
      <w:proofErr w:type="spellStart"/>
      <w:r w:rsidR="00645925" w:rsidRPr="00645925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645925" w:rsidRPr="00645925">
        <w:rPr>
          <w:rFonts w:ascii="Times New Roman" w:hAnsi="Times New Roman" w:cs="Times New Roman"/>
          <w:sz w:val="24"/>
          <w:szCs w:val="24"/>
        </w:rPr>
        <w:t xml:space="preserve">, tak 10 % (55 </w:t>
      </w:r>
      <w:proofErr w:type="spellStart"/>
      <w:r w:rsidR="00645925" w:rsidRPr="00645925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645925" w:rsidRPr="00645925">
        <w:rPr>
          <w:rFonts w:ascii="Times New Roman" w:hAnsi="Times New Roman" w:cs="Times New Roman"/>
          <w:sz w:val="24"/>
          <w:szCs w:val="24"/>
        </w:rPr>
        <w:t xml:space="preserve">) </w:t>
      </w:r>
      <w:r w:rsidR="008C0E3A">
        <w:rPr>
          <w:rFonts w:ascii="Times New Roman" w:hAnsi="Times New Roman" w:cs="Times New Roman"/>
          <w:sz w:val="24"/>
          <w:szCs w:val="24"/>
        </w:rPr>
        <w:t>odpovídá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 495 </w:t>
      </w:r>
      <w:proofErr w:type="spellStart"/>
      <w:r w:rsidR="00645925" w:rsidRPr="00645925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5A5A0C">
        <w:rPr>
          <w:rFonts w:ascii="Times New Roman" w:hAnsi="Times New Roman" w:cs="Times New Roman"/>
          <w:sz w:val="24"/>
          <w:szCs w:val="24"/>
        </w:rPr>
        <w:t>, což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 </w:t>
      </w:r>
      <w:r w:rsidR="002936E6">
        <w:rPr>
          <w:rFonts w:ascii="Times New Roman" w:hAnsi="Times New Roman" w:cs="Times New Roman"/>
          <w:sz w:val="24"/>
          <w:szCs w:val="24"/>
        </w:rPr>
        <w:t>se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 nacház</w:t>
      </w:r>
      <w:r w:rsidR="002936E6">
        <w:rPr>
          <w:rFonts w:ascii="Times New Roman" w:hAnsi="Times New Roman" w:cs="Times New Roman"/>
          <w:sz w:val="24"/>
          <w:szCs w:val="24"/>
        </w:rPr>
        <w:t>í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 v tzv. pásmu nejistoty měření, kdy </w:t>
      </w:r>
      <w:r w:rsidR="005A5A0C">
        <w:rPr>
          <w:rFonts w:ascii="Times New Roman" w:hAnsi="Times New Roman" w:cs="Times New Roman"/>
          <w:sz w:val="24"/>
          <w:szCs w:val="24"/>
        </w:rPr>
        <w:t xml:space="preserve">nelze 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rozhodnout, </w:t>
      </w:r>
      <w:r w:rsidR="005A5A0C">
        <w:rPr>
          <w:rFonts w:ascii="Times New Roman" w:hAnsi="Times New Roman" w:cs="Times New Roman"/>
          <w:sz w:val="24"/>
          <w:szCs w:val="24"/>
        </w:rPr>
        <w:t>zda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 je či není daná osvětlovací soustava v</w:t>
      </w:r>
      <w:r w:rsidR="00D40881">
        <w:rPr>
          <w:rFonts w:ascii="Times New Roman" w:hAnsi="Times New Roman" w:cs="Times New Roman"/>
          <w:sz w:val="24"/>
          <w:szCs w:val="24"/>
        </w:rPr>
        <w:t> souladu s požadavky</w:t>
      </w:r>
      <w:r w:rsidR="00645925" w:rsidRPr="00645925">
        <w:rPr>
          <w:rFonts w:ascii="Times New Roman" w:hAnsi="Times New Roman" w:cs="Times New Roman"/>
          <w:sz w:val="24"/>
          <w:szCs w:val="24"/>
        </w:rPr>
        <w:t xml:space="preserve">. </w:t>
      </w:r>
      <w:r w:rsidR="005A5A0C">
        <w:rPr>
          <w:rFonts w:ascii="Times New Roman" w:hAnsi="Times New Roman" w:cs="Times New Roman"/>
          <w:sz w:val="24"/>
          <w:szCs w:val="24"/>
        </w:rPr>
        <w:t xml:space="preserve">Násobek </w:t>
      </w:r>
      <w:r w:rsidR="00C21F0C">
        <w:rPr>
          <w:rFonts w:ascii="Times New Roman" w:hAnsi="Times New Roman" w:cs="Times New Roman"/>
          <w:sz w:val="24"/>
          <w:szCs w:val="24"/>
        </w:rPr>
        <w:t xml:space="preserve">1,2 tak zaručuje, že jeho splnění (vzhledem k pásmu nejistoty měření) </w:t>
      </w:r>
      <w:r w:rsidR="00CC675A">
        <w:rPr>
          <w:rFonts w:ascii="Times New Roman" w:hAnsi="Times New Roman" w:cs="Times New Roman"/>
          <w:sz w:val="24"/>
          <w:szCs w:val="24"/>
        </w:rPr>
        <w:t xml:space="preserve">splní s určitostí požadavky vyplývající z příslušné technické normy pro </w:t>
      </w:r>
      <w:r w:rsidR="00EF7BA0" w:rsidRPr="00645925">
        <w:rPr>
          <w:rFonts w:ascii="Times New Roman" w:hAnsi="Times New Roman" w:cs="Times New Roman"/>
          <w:sz w:val="24"/>
          <w:szCs w:val="24"/>
        </w:rPr>
        <w:t>požadovan</w:t>
      </w:r>
      <w:r w:rsidR="00EF7BA0">
        <w:rPr>
          <w:rFonts w:ascii="Times New Roman" w:hAnsi="Times New Roman" w:cs="Times New Roman"/>
          <w:sz w:val="24"/>
          <w:szCs w:val="24"/>
        </w:rPr>
        <w:t>ou</w:t>
      </w:r>
      <w:r w:rsidR="00EF7BA0" w:rsidRPr="00645925">
        <w:rPr>
          <w:rFonts w:ascii="Times New Roman" w:hAnsi="Times New Roman" w:cs="Times New Roman"/>
          <w:sz w:val="24"/>
          <w:szCs w:val="24"/>
        </w:rPr>
        <w:t xml:space="preserve"> udržovan</w:t>
      </w:r>
      <w:r w:rsidR="00EF7BA0">
        <w:rPr>
          <w:rFonts w:ascii="Times New Roman" w:hAnsi="Times New Roman" w:cs="Times New Roman"/>
          <w:sz w:val="24"/>
          <w:szCs w:val="24"/>
        </w:rPr>
        <w:t>ou</w:t>
      </w:r>
      <w:r w:rsidR="00EF7BA0" w:rsidRPr="00645925">
        <w:rPr>
          <w:rFonts w:ascii="Times New Roman" w:hAnsi="Times New Roman" w:cs="Times New Roman"/>
          <w:sz w:val="24"/>
          <w:szCs w:val="24"/>
        </w:rPr>
        <w:t xml:space="preserve"> osvětlenost</w:t>
      </w:r>
      <w:r w:rsidR="00EF7BA0">
        <w:rPr>
          <w:rFonts w:ascii="Times New Roman" w:hAnsi="Times New Roman" w:cs="Times New Roman"/>
          <w:sz w:val="24"/>
          <w:szCs w:val="24"/>
        </w:rPr>
        <w:t>.</w:t>
      </w:r>
      <w:r w:rsidR="008244C6">
        <w:rPr>
          <w:rFonts w:ascii="Times New Roman" w:hAnsi="Times New Roman" w:cs="Times New Roman"/>
          <w:sz w:val="24"/>
          <w:szCs w:val="24"/>
        </w:rPr>
        <w:t xml:space="preserve"> Násobek nižší než 1,2 by zcela zaručeně nemusel znamenat splnění požadavku</w:t>
      </w:r>
      <w:r w:rsidR="00600A30">
        <w:rPr>
          <w:rFonts w:ascii="Times New Roman" w:hAnsi="Times New Roman" w:cs="Times New Roman"/>
          <w:sz w:val="24"/>
          <w:szCs w:val="24"/>
        </w:rPr>
        <w:t xml:space="preserve"> vzhledem k uvedené nejistotě měření. </w:t>
      </w:r>
    </w:p>
    <w:p w14:paraId="71437865" w14:textId="77777777" w:rsidR="00FA0C36" w:rsidRDefault="00FA0C36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013DC2B7" w14:textId="5CE444F6" w:rsidR="00EE4282" w:rsidRDefault="00EE4282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5 </w:t>
      </w:r>
      <w:r w:rsidR="00FB68CB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>narovnává správnou terminologii</w:t>
      </w:r>
      <w:r w:rsidR="005E20EB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E20EB" w:rsidRPr="00A845D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="005E20EB" w:rsidRPr="00A845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UG</w:t>
      </w:r>
      <w:r w:rsidR="00FB68CB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08D6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správně index oslnění </w:t>
      </w:r>
      <w:r w:rsidR="000E0E1C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nikoliv činitel </w:t>
      </w:r>
      <w:r w:rsidR="000908D6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reaguje na zavedou praxi, že ne každý projektant, a ne každý hygienik požaduje v projektu doložit </w:t>
      </w:r>
      <w:r w:rsidR="004F09D4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index </w:t>
      </w:r>
      <w:r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>oslnění</w:t>
      </w:r>
      <w:r w:rsidR="00A845DE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45DE"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A845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avíc se přidává definice výšky sedící a stojící osoby pro tento výpočet. Je to z toho důvodu, že tato definice není v normě ČSN EN 12464-1 uvedena a musí se definovat jednoznačně. </w:t>
      </w:r>
      <w:r w:rsidR="00D51DB4" w:rsidRPr="00D51D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výpočtu </w:t>
      </w:r>
      <w:r w:rsidR="00D51DB4" w:rsidRPr="004701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="00D51DB4" w:rsidRPr="00470176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UG </w:t>
      </w:r>
      <w:r w:rsidR="00D51DB4" w:rsidRPr="00D51D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použitím rovnice je potřeba </w:t>
      </w:r>
      <w:r w:rsidR="003C729C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D51DB4" w:rsidRPr="00D51D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normy ČSN EN 12464-1 zvolit jistou míru benevolence výpočtové metody. Tímto opatřením dojde k tomu, že tabulková metoda, pro kterou jsou v normě stanovené limity a metoda rovnic budou ve finále </w:t>
      </w:r>
      <w:proofErr w:type="gramStart"/>
      <w:r w:rsidR="00D51DB4" w:rsidRPr="00D51D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stejně </w:t>
      </w:r>
      <w:r w:rsidR="00383D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3D96" w:rsidRPr="00D51DB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</w:t>
      </w:r>
      <w:r w:rsidR="00383D96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proofErr w:type="gramEnd"/>
      <w:r w:rsidR="00D51DB4" w:rsidRPr="00D51DB4">
        <w:rPr>
          <w:rFonts w:ascii="Times New Roman" w:eastAsia="Times New Roman" w:hAnsi="Times New Roman" w:cs="Times New Roman"/>
          <w:sz w:val="24"/>
          <w:szCs w:val="24"/>
          <w:lang w:eastAsia="cs-CZ"/>
        </w:rPr>
        <w:t>. Metoda rovnic je totiž přísnější než metoda tabulková. Při výsledku tabulkové metody 19,0 a metodou rovnic 19,9 bude při limitní hodně 19,0 prostor z hlediska oslnění vyhovující.</w:t>
      </w:r>
    </w:p>
    <w:p w14:paraId="64E55077" w14:textId="77777777" w:rsidR="005A7456" w:rsidRDefault="005A7456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FDB1E0" w14:textId="5F47DD11" w:rsidR="00702C26" w:rsidRPr="00063B89" w:rsidRDefault="005A7456" w:rsidP="00702C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647B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r w:rsidR="009647BD">
        <w:rPr>
          <w:rFonts w:ascii="Times New Roman" w:eastAsia="Times New Roman" w:hAnsi="Times New Roman" w:cs="Times New Roman"/>
          <w:sz w:val="24"/>
          <w:szCs w:val="24"/>
          <w:lang w:eastAsia="cs-CZ"/>
        </w:rPr>
        <w:t>. 6</w:t>
      </w:r>
      <w:r w:rsidR="00702C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uvedeno, že </w:t>
      </w:r>
      <w:r w:rsidR="00702C26">
        <w:rPr>
          <w:rFonts w:ascii="Times New Roman" w:hAnsi="Times New Roman" w:cs="Times New Roman"/>
          <w:sz w:val="24"/>
          <w:szCs w:val="24"/>
        </w:rPr>
        <w:t>p</w:t>
      </w:r>
      <w:r w:rsidR="00702C26" w:rsidRPr="00063B89">
        <w:rPr>
          <w:rFonts w:ascii="Times New Roman" w:hAnsi="Times New Roman" w:cs="Times New Roman"/>
          <w:sz w:val="24"/>
          <w:szCs w:val="24"/>
        </w:rPr>
        <w:t>r</w:t>
      </w:r>
      <w:r w:rsidR="00702C26">
        <w:rPr>
          <w:rFonts w:ascii="Times New Roman" w:hAnsi="Times New Roman" w:cs="Times New Roman"/>
          <w:sz w:val="24"/>
          <w:szCs w:val="24"/>
        </w:rPr>
        <w:t xml:space="preserve">o dosažení </w:t>
      </w:r>
      <w:r w:rsidR="00702C26" w:rsidRPr="00063B89">
        <w:rPr>
          <w:rFonts w:ascii="Times New Roman" w:hAnsi="Times New Roman" w:cs="Times New Roman"/>
          <w:sz w:val="24"/>
          <w:szCs w:val="24"/>
        </w:rPr>
        <w:t>zrakového výkon</w:t>
      </w:r>
      <w:r w:rsidR="00702C26">
        <w:rPr>
          <w:rFonts w:ascii="Times New Roman" w:hAnsi="Times New Roman" w:cs="Times New Roman"/>
          <w:sz w:val="24"/>
          <w:szCs w:val="24"/>
        </w:rPr>
        <w:t>u</w:t>
      </w:r>
      <w:r w:rsidR="00702C26" w:rsidRPr="008E10A2">
        <w:rPr>
          <w:rFonts w:ascii="Times New Roman" w:hAnsi="Times New Roman" w:cs="Times New Roman"/>
          <w:sz w:val="24"/>
          <w:szCs w:val="24"/>
        </w:rPr>
        <w:t xml:space="preserve"> </w:t>
      </w:r>
      <w:r w:rsidR="00702C26">
        <w:rPr>
          <w:rFonts w:ascii="Times New Roman" w:hAnsi="Times New Roman" w:cs="Times New Roman"/>
          <w:sz w:val="24"/>
          <w:szCs w:val="24"/>
        </w:rPr>
        <w:t>musí mít pracovní prostory b</w:t>
      </w:r>
      <w:r w:rsidR="00702C26" w:rsidRPr="00063B89">
        <w:rPr>
          <w:rFonts w:ascii="Times New Roman" w:hAnsi="Times New Roman" w:cs="Times New Roman"/>
          <w:sz w:val="24"/>
          <w:szCs w:val="24"/>
        </w:rPr>
        <w:t>arevný tón světla neutrálně bílý</w:t>
      </w:r>
      <w:r w:rsidR="00702C26">
        <w:rPr>
          <w:rFonts w:ascii="Times New Roman" w:hAnsi="Times New Roman" w:cs="Times New Roman"/>
          <w:sz w:val="24"/>
          <w:szCs w:val="24"/>
        </w:rPr>
        <w:t xml:space="preserve">. V prostorech </w:t>
      </w:r>
      <w:r w:rsidR="00702C26" w:rsidRPr="00EB1C4B">
        <w:rPr>
          <w:rFonts w:ascii="Times New Roman" w:hAnsi="Times New Roman" w:cs="Times New Roman"/>
          <w:sz w:val="24"/>
          <w:szCs w:val="24"/>
        </w:rPr>
        <w:t xml:space="preserve">s udržovanou osvětleností </w:t>
      </w:r>
      <w:proofErr w:type="spellStart"/>
      <w:r w:rsidR="00702C26" w:rsidRPr="00CA3097">
        <w:rPr>
          <w:rFonts w:ascii="Times New Roman" w:hAnsi="Times New Roman" w:cs="Times New Roman"/>
          <w:b/>
          <w:i/>
          <w:sz w:val="24"/>
          <w:szCs w:val="24"/>
        </w:rPr>
        <w:t>Ē</w:t>
      </w:r>
      <w:r w:rsidR="00702C26" w:rsidRPr="00CA3097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proofErr w:type="spellEnd"/>
      <w:r w:rsidR="00702C26" w:rsidRPr="00CA3097">
        <w:rPr>
          <w:rFonts w:ascii="Times New Roman" w:hAnsi="Times New Roman" w:cs="Times New Roman"/>
          <w:sz w:val="24"/>
          <w:szCs w:val="24"/>
        </w:rPr>
        <w:t xml:space="preserve"> ≥ 1000 </w:t>
      </w:r>
      <w:proofErr w:type="spellStart"/>
      <w:r w:rsidR="00702C26" w:rsidRPr="00CA3097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702C26" w:rsidRPr="00910D58">
        <w:rPr>
          <w:rFonts w:ascii="Times New Roman" w:hAnsi="Times New Roman" w:cs="Times New Roman"/>
          <w:sz w:val="24"/>
          <w:szCs w:val="24"/>
        </w:rPr>
        <w:t xml:space="preserve"> </w:t>
      </w:r>
      <w:r w:rsidR="00702C26">
        <w:rPr>
          <w:rFonts w:ascii="Times New Roman" w:hAnsi="Times New Roman" w:cs="Times New Roman"/>
          <w:sz w:val="24"/>
          <w:szCs w:val="24"/>
        </w:rPr>
        <w:t xml:space="preserve">nebo </w:t>
      </w:r>
      <w:r w:rsidR="00702C26" w:rsidRPr="00910D58">
        <w:rPr>
          <w:rFonts w:ascii="Times New Roman" w:hAnsi="Times New Roman" w:cs="Times New Roman"/>
          <w:sz w:val="24"/>
          <w:szCs w:val="24"/>
        </w:rPr>
        <w:t>se zvláštními nároky na zrakový výkon</w:t>
      </w:r>
      <w:r w:rsidR="00702C26">
        <w:rPr>
          <w:rFonts w:ascii="Times New Roman" w:hAnsi="Times New Roman" w:cs="Times New Roman"/>
          <w:sz w:val="24"/>
          <w:szCs w:val="24"/>
        </w:rPr>
        <w:t xml:space="preserve"> se připouští barevný tón světla chladně bílý.</w:t>
      </w:r>
      <w:r w:rsidR="008915EE" w:rsidRPr="008915EE">
        <w:rPr>
          <w:rFonts w:ascii="Times New Roman" w:hAnsi="Times New Roman" w:cs="Times New Roman"/>
          <w:sz w:val="24"/>
          <w:szCs w:val="24"/>
        </w:rPr>
        <w:t xml:space="preserve"> V prostorech do 1000 </w:t>
      </w:r>
      <w:proofErr w:type="spellStart"/>
      <w:r w:rsidR="008915EE" w:rsidRPr="008915EE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8915EE" w:rsidRPr="008915EE">
        <w:rPr>
          <w:rFonts w:ascii="Times New Roman" w:hAnsi="Times New Roman" w:cs="Times New Roman"/>
          <w:sz w:val="24"/>
          <w:szCs w:val="24"/>
        </w:rPr>
        <w:t xml:space="preserve"> se nedoporučuje chladně bílá barva světla. Ta je vhodná pro intenzity ≥ než 1000 </w:t>
      </w:r>
      <w:proofErr w:type="spellStart"/>
      <w:r w:rsidR="008915EE" w:rsidRPr="008915EE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8915EE" w:rsidRPr="008915EE">
        <w:rPr>
          <w:rFonts w:ascii="Times New Roman" w:hAnsi="Times New Roman" w:cs="Times New Roman"/>
          <w:sz w:val="24"/>
          <w:szCs w:val="24"/>
        </w:rPr>
        <w:t>. Proto zde došlo k upřesnění této limitní hodnoty.</w:t>
      </w:r>
    </w:p>
    <w:p w14:paraId="1E0FF708" w14:textId="77777777" w:rsidR="009647BD" w:rsidRDefault="009647BD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211C64" w14:textId="5A1FB303" w:rsidR="009647BD" w:rsidRPr="00A845DE" w:rsidRDefault="009647BD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odst. 7 došlo k upřesnění terminologie</w:t>
      </w:r>
      <w:r w:rsid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(veličin)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CFF0AA2" w14:textId="77777777" w:rsidR="00502C6E" w:rsidRPr="00055E88" w:rsidRDefault="00502C6E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63946A" w14:textId="606D4B84" w:rsidR="00EE4282" w:rsidRPr="00055E88" w:rsidRDefault="00EE4282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odst. 9 </w:t>
      </w:r>
      <w:r w:rsidR="00502C6E" w:rsidRPr="00055E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došlo pouze k úpravě terminologie </w:t>
      </w:r>
      <w:r w:rsidR="00055E88" w:rsidRPr="00055E88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platnými normami</w:t>
      </w:r>
      <w:r w:rsidRPr="00055E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875800" w14:textId="77777777" w:rsidR="00C242D1" w:rsidRDefault="00C242D1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135665B6" w14:textId="442DC414" w:rsidR="00435F67" w:rsidRDefault="00E950C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B2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bodům 30 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B2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435F67" w:rsidRPr="00C242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45b</w:t>
      </w:r>
      <w:r w:rsidR="00B240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6CF10013" w14:textId="029B3B71" w:rsidR="00EE067B" w:rsidRDefault="00A74F99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Změnou došlo k upřesnění, že </w:t>
      </w:r>
      <w:r w:rsidR="00934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v tomto ustanovení se vztahují na vnitřní pracoviště </w:t>
      </w:r>
      <w:r w:rsidR="005C2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trvalé práce </w:t>
      </w:r>
      <w:r w:rsidR="00934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(požadavky na venkovní pracoviště jsou uvedeny v </w:t>
      </w:r>
      <w:r w:rsidR="00934669" w:rsidRPr="00934669">
        <w:rPr>
          <w:rFonts w:ascii="Times New Roman" w:eastAsia="Times New Roman" w:hAnsi="Times New Roman" w:cs="Times New Roman"/>
          <w:sz w:val="24"/>
          <w:szCs w:val="24"/>
          <w:lang w:eastAsia="cs-CZ"/>
        </w:rPr>
        <w:t>§ 45c</w:t>
      </w:r>
      <w:r w:rsidR="009346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nařízení)</w:t>
      </w:r>
      <w:r w:rsidR="00E27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33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bylo </w:t>
      </w:r>
      <w:r w:rsidR="00017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odst. 2 </w:t>
      </w:r>
      <w:r w:rsidR="006331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doplněno, že </w:t>
      </w:r>
      <w:r w:rsidR="009A035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A035F" w:rsidRPr="009A0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ožadované hodnoty elektrického osvětlení se </w:t>
      </w:r>
      <w:r w:rsidR="00CA3097" w:rsidRPr="009A0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kontrolují </w:t>
      </w:r>
      <w:r w:rsid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7E62D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projektu</w:t>
      </w:r>
      <w:r w:rsidR="00CA3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(záměru)</w:t>
      </w:r>
      <w:r w:rsidR="007E6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ověřují podle návrhu osvětlení, včetně jeho výpočtu.</w:t>
      </w:r>
      <w:r w:rsidR="00017D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AE1C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 </w:t>
      </w:r>
      <w:r w:rsidR="00017D04">
        <w:rPr>
          <w:rFonts w:ascii="Times New Roman" w:eastAsia="Times New Roman" w:hAnsi="Times New Roman" w:cs="Times New Roman"/>
          <w:sz w:val="24"/>
          <w:szCs w:val="24"/>
          <w:lang w:eastAsia="cs-CZ"/>
        </w:rPr>
        <w:t>ustoupeno od povinnosti provádět vždy měření.</w:t>
      </w:r>
      <w:r w:rsidR="006C37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neznamená, že orgán ochrany zdraví nemůže toto měření vyžadovat. </w:t>
      </w:r>
    </w:p>
    <w:p w14:paraId="4086AF74" w14:textId="77777777" w:rsidR="00EE067B" w:rsidRDefault="00EE067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7FE9AA3B" w14:textId="1B054DE0" w:rsidR="00242F9F" w:rsidRPr="00435F67" w:rsidRDefault="00E950CB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</w:t>
      </w:r>
      <w:r w:rsidR="000128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bodům 32 33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0128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r w:rsidR="00242F9F" w:rsidRPr="00435F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§ 45c</w:t>
      </w:r>
      <w:r w:rsidR="000128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14:paraId="77896D70" w14:textId="6475FB2D" w:rsidR="00242F9F" w:rsidRDefault="00C21031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67">
        <w:rPr>
          <w:rFonts w:ascii="Times New Roman" w:eastAsia="Times New Roman" w:hAnsi="Times New Roman" w:cs="Times New Roman"/>
          <w:sz w:val="24"/>
          <w:szCs w:val="24"/>
          <w:lang w:eastAsia="cs-CZ"/>
        </w:rPr>
        <w:t>V nadpisu ustanovení došlo k vypuštění slov „s trvalou prací“</w:t>
      </w:r>
      <w:r w:rsidR="000A097D" w:rsidRPr="00435F6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35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neboť </w:t>
      </w:r>
      <w:r w:rsidR="00435F67" w:rsidRPr="00435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</w:t>
      </w:r>
      <w:r w:rsidR="0039489A">
        <w:rPr>
          <w:rFonts w:ascii="Times New Roman" w:eastAsia="Times New Roman" w:hAnsi="Times New Roman" w:cs="Times New Roman"/>
          <w:sz w:val="24"/>
          <w:szCs w:val="24"/>
          <w:lang w:eastAsia="cs-CZ"/>
        </w:rPr>
        <w:t>na osvětlení venkov</w:t>
      </w:r>
      <w:r w:rsidR="00C83959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3948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pracovišť </w:t>
      </w:r>
      <w:r w:rsidR="00435F67" w:rsidRPr="00435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vyplývající z tohoto ustanovení se vztahují </w:t>
      </w:r>
      <w:r w:rsidR="003D2059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na všechna</w:t>
      </w:r>
      <w:r w:rsidR="00435F67" w:rsidRPr="00435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pracoviště, </w:t>
      </w:r>
      <w:r w:rsidR="00AC4535">
        <w:rPr>
          <w:rFonts w:ascii="Times New Roman" w:eastAsia="Times New Roman" w:hAnsi="Times New Roman" w:cs="Times New Roman"/>
          <w:sz w:val="24"/>
          <w:szCs w:val="24"/>
          <w:lang w:eastAsia="cs-CZ"/>
        </w:rPr>
        <w:t>nejen</w:t>
      </w:r>
      <w:r w:rsidR="00E70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ta</w:t>
      </w:r>
      <w:r w:rsidR="00AC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trvalou prací</w:t>
      </w:r>
      <w:r w:rsidR="00435F67" w:rsidRPr="00435F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(tzn. práce kratší než 4 hodiny za směnu). </w:t>
      </w:r>
    </w:p>
    <w:p w14:paraId="14EFA5E3" w14:textId="5C799E9D" w:rsidR="00D50148" w:rsidRDefault="00D50148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v</w:t>
      </w:r>
      <w:r w:rsidR="00437F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</w:t>
      </w:r>
      <w:r w:rsidR="00437F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došlo rovněž k úpravě, že pro </w:t>
      </w:r>
      <w:r w:rsidR="002A3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ověření požadované normované hodnoty elektrického </w:t>
      </w:r>
      <w:r w:rsidR="00B44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osvětlení </w:t>
      </w:r>
      <w:r w:rsidR="002A3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dostačující </w:t>
      </w:r>
      <w:r w:rsidR="00AB2317">
        <w:rPr>
          <w:rFonts w:ascii="Times New Roman" w:eastAsia="Times New Roman" w:hAnsi="Times New Roman" w:cs="Times New Roman"/>
          <w:sz w:val="24"/>
          <w:szCs w:val="24"/>
          <w:lang w:eastAsia="cs-CZ"/>
        </w:rPr>
        <w:t>výpočet osvětlení. Dochází tak ke zmírnění požadavků, neboť je ustoupeno od povinnosti provést měření</w:t>
      </w:r>
      <w:r w:rsidR="00763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656A" w:rsidRPr="00763B76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akreditovan</w:t>
      </w:r>
      <w:r w:rsidR="0009656A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763B76" w:rsidRPr="00763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965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autorizovanou </w:t>
      </w:r>
      <w:r w:rsidR="00763B76" w:rsidRPr="00763B76">
        <w:rPr>
          <w:rFonts w:ascii="Times New Roman" w:eastAsia="Times New Roman" w:hAnsi="Times New Roman" w:cs="Times New Roman"/>
          <w:sz w:val="24"/>
          <w:szCs w:val="24"/>
          <w:lang w:eastAsia="cs-CZ"/>
        </w:rPr>
        <w:t>laboratoř</w:t>
      </w:r>
      <w:r w:rsidR="0009656A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763B76" w:rsidRPr="00763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držitel</w:t>
      </w:r>
      <w:r w:rsidR="0009656A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763B76" w:rsidRPr="00763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osvědčení o odborné způsobilosti v oboru fotometrie</w:t>
      </w:r>
      <w:r w:rsidR="00763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B23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543B29" w14:textId="77777777" w:rsidR="00C21031" w:rsidRDefault="00C21031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40D0E882" w14:textId="38F848E3" w:rsidR="00F64348" w:rsidRPr="009E0E22" w:rsidRDefault="00E950CB" w:rsidP="00F643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</w:t>
      </w:r>
      <w:r w:rsidR="00DB56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bodům 34 až 36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B5605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F64348" w:rsidRPr="009E0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§ </w:t>
      </w:r>
      <w:r w:rsidR="00C853FE">
        <w:rPr>
          <w:rFonts w:ascii="Times New Roman" w:hAnsi="Times New Roman" w:cs="Times New Roman"/>
          <w:b/>
          <w:bCs/>
          <w:sz w:val="24"/>
          <w:szCs w:val="24"/>
          <w:u w:val="single"/>
        </w:rPr>
        <w:t>51</w:t>
      </w:r>
      <w:r w:rsidR="00AB7A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r w:rsidR="00AB7A88" w:rsidRPr="009E0E22">
        <w:rPr>
          <w:rFonts w:ascii="Times New Roman" w:hAnsi="Times New Roman" w:cs="Times New Roman"/>
          <w:b/>
          <w:bCs/>
          <w:sz w:val="24"/>
          <w:szCs w:val="24"/>
          <w:u w:val="single"/>
        </w:rPr>
        <w:t>§</w:t>
      </w:r>
      <w:r w:rsidR="00AB7A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52</w:t>
      </w:r>
      <w:r w:rsidR="00DB560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11DE90B" w14:textId="264198B0" w:rsidR="00D76FFE" w:rsidRDefault="00AB7A88" w:rsidP="00C9399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 požadavkům vyplývající z </w:t>
      </w:r>
      <w:r w:rsidRPr="006D2522">
        <w:rPr>
          <w:rFonts w:ascii="Times New Roman" w:hAnsi="Times New Roman"/>
          <w:sz w:val="24"/>
        </w:rPr>
        <w:t>EU-Pilot EUP</w:t>
      </w:r>
      <w:r>
        <w:rPr>
          <w:rFonts w:ascii="Times New Roman" w:hAnsi="Times New Roman"/>
          <w:sz w:val="24"/>
        </w:rPr>
        <w:t xml:space="preserve"> </w:t>
      </w:r>
      <w:r w:rsidRPr="006D2522">
        <w:rPr>
          <w:rFonts w:ascii="Times New Roman" w:hAnsi="Times New Roman"/>
          <w:sz w:val="24"/>
        </w:rPr>
        <w:t xml:space="preserve">(2023)10621, týkající se technických úprav souvisejících s implementací směrnice Komise (EU) 2019/1833, kterou se mění přílohy I, III, V a VI směrnice Evropského parlamentu a Rady 2000/54/ES, </w:t>
      </w:r>
      <w:r w:rsidR="00592271">
        <w:rPr>
          <w:rFonts w:ascii="Times New Roman" w:hAnsi="Times New Roman"/>
          <w:sz w:val="24"/>
        </w:rPr>
        <w:t>po</w:t>
      </w:r>
      <w:r w:rsidRPr="006D2522">
        <w:rPr>
          <w:rFonts w:ascii="Times New Roman" w:hAnsi="Times New Roman"/>
          <w:sz w:val="24"/>
        </w:rPr>
        <w:t xml:space="preserve">dle jehož výsledků </w:t>
      </w:r>
      <w:r>
        <w:rPr>
          <w:rFonts w:ascii="Times New Roman" w:hAnsi="Times New Roman"/>
          <w:sz w:val="24"/>
        </w:rPr>
        <w:t>bylo</w:t>
      </w:r>
      <w:r w:rsidRPr="006D2522">
        <w:rPr>
          <w:rFonts w:ascii="Times New Roman" w:hAnsi="Times New Roman"/>
          <w:sz w:val="24"/>
        </w:rPr>
        <w:t xml:space="preserve"> nutno provést úpravu v oblasti biologických činitelů a zajištění ochrany zdraví při práci s</w:t>
      </w:r>
      <w:r>
        <w:rPr>
          <w:rFonts w:ascii="Times New Roman" w:hAnsi="Times New Roman"/>
          <w:sz w:val="24"/>
        </w:rPr>
        <w:t> </w:t>
      </w:r>
      <w:r w:rsidRPr="006D2522">
        <w:rPr>
          <w:rFonts w:ascii="Times New Roman" w:hAnsi="Times New Roman"/>
          <w:sz w:val="24"/>
        </w:rPr>
        <w:t>nimi</w:t>
      </w:r>
      <w:r>
        <w:rPr>
          <w:rFonts w:ascii="Times New Roman" w:hAnsi="Times New Roman"/>
          <w:sz w:val="24"/>
        </w:rPr>
        <w:t>, neboť uvedená směrnice není do právního předpisu</w:t>
      </w:r>
      <w:r w:rsidR="002716DA">
        <w:rPr>
          <w:rFonts w:ascii="Times New Roman" w:hAnsi="Times New Roman"/>
          <w:sz w:val="24"/>
        </w:rPr>
        <w:t xml:space="preserve"> dostatečně </w:t>
      </w:r>
      <w:r>
        <w:rPr>
          <w:rFonts w:ascii="Times New Roman" w:hAnsi="Times New Roman"/>
          <w:sz w:val="24"/>
        </w:rPr>
        <w:t xml:space="preserve">transponována. </w:t>
      </w:r>
      <w:r w:rsidR="00F64348" w:rsidRPr="009E0E22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</w:t>
      </w:r>
      <w:r w:rsidR="00C9399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64348" w:rsidRPr="009E0E22">
        <w:rPr>
          <w:rFonts w:ascii="Times New Roman" w:hAnsi="Times New Roman"/>
          <w:sz w:val="24"/>
        </w:rPr>
        <w:t>implementaci</w:t>
      </w:r>
      <w:r w:rsidR="00C9399B">
        <w:rPr>
          <w:rFonts w:ascii="Times New Roman" w:hAnsi="Times New Roman"/>
          <w:sz w:val="24"/>
        </w:rPr>
        <w:t xml:space="preserve"> bylo nutno provést sjednocení terminologie</w:t>
      </w:r>
      <w:r w:rsidR="000A5E57">
        <w:rPr>
          <w:rFonts w:ascii="Times New Roman" w:hAnsi="Times New Roman"/>
          <w:sz w:val="24"/>
        </w:rPr>
        <w:t xml:space="preserve"> a přesunu části </w:t>
      </w:r>
      <w:r w:rsidR="000A5E57" w:rsidRPr="000A5E57">
        <w:rPr>
          <w:rFonts w:ascii="Times New Roman" w:hAnsi="Times New Roman"/>
          <w:sz w:val="24"/>
        </w:rPr>
        <w:t>§ 52</w:t>
      </w:r>
      <w:r w:rsidR="000A5E57">
        <w:rPr>
          <w:rFonts w:ascii="Times New Roman" w:hAnsi="Times New Roman"/>
          <w:sz w:val="24"/>
        </w:rPr>
        <w:t xml:space="preserve"> do </w:t>
      </w:r>
      <w:r w:rsidR="000A5E57" w:rsidRPr="000A5E57">
        <w:rPr>
          <w:rFonts w:ascii="Times New Roman" w:hAnsi="Times New Roman"/>
          <w:sz w:val="24"/>
        </w:rPr>
        <w:t>§ 51</w:t>
      </w:r>
      <w:r w:rsidR="000A5E57">
        <w:rPr>
          <w:rFonts w:ascii="Times New Roman" w:hAnsi="Times New Roman"/>
          <w:sz w:val="24"/>
        </w:rPr>
        <w:t xml:space="preserve">, aby byla zajištěna návaznost na </w:t>
      </w:r>
      <w:r w:rsidR="0065533D" w:rsidRPr="0065533D">
        <w:rPr>
          <w:rFonts w:ascii="Times New Roman" w:hAnsi="Times New Roman"/>
          <w:sz w:val="24"/>
        </w:rPr>
        <w:t>příloh</w:t>
      </w:r>
      <w:r w:rsidR="0065533D">
        <w:rPr>
          <w:rFonts w:ascii="Times New Roman" w:hAnsi="Times New Roman"/>
          <w:sz w:val="24"/>
        </w:rPr>
        <w:t>u</w:t>
      </w:r>
      <w:r w:rsidR="0065533D" w:rsidRPr="0065533D">
        <w:rPr>
          <w:rFonts w:ascii="Times New Roman" w:hAnsi="Times New Roman"/>
          <w:sz w:val="24"/>
        </w:rPr>
        <w:t xml:space="preserve"> č. 7 k tomuto nařízení, části B, tabulky č. </w:t>
      </w:r>
      <w:r w:rsidR="0065533D">
        <w:rPr>
          <w:rFonts w:ascii="Times New Roman" w:hAnsi="Times New Roman"/>
          <w:sz w:val="24"/>
        </w:rPr>
        <w:t xml:space="preserve">1 a </w:t>
      </w:r>
      <w:r w:rsidR="0065533D" w:rsidRPr="0065533D">
        <w:rPr>
          <w:rFonts w:ascii="Times New Roman" w:hAnsi="Times New Roman"/>
          <w:sz w:val="24"/>
        </w:rPr>
        <w:t>2</w:t>
      </w:r>
      <w:r w:rsidR="0065533D">
        <w:rPr>
          <w:rFonts w:ascii="Times New Roman" w:hAnsi="Times New Roman"/>
          <w:sz w:val="24"/>
        </w:rPr>
        <w:t xml:space="preserve">. </w:t>
      </w:r>
    </w:p>
    <w:p w14:paraId="124D7D1C" w14:textId="0D87648D" w:rsidR="00D76FFE" w:rsidRPr="00C9399B" w:rsidRDefault="00E950CB" w:rsidP="00A711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DB56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bod</w:t>
      </w:r>
      <w:r w:rsidR="00071124">
        <w:rPr>
          <w:rFonts w:ascii="Times New Roman" w:hAnsi="Times New Roman" w:cs="Times New Roman"/>
          <w:b/>
          <w:bCs/>
          <w:sz w:val="24"/>
          <w:szCs w:val="24"/>
          <w:u w:val="single"/>
        </w:rPr>
        <w:t>ům</w:t>
      </w:r>
      <w:r w:rsidR="00DB56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37</w:t>
      </w:r>
      <w:r w:rsidR="00071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až 39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B5605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76FFE" w:rsidRPr="009E0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§ </w:t>
      </w:r>
      <w:r w:rsidR="00D76FF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FD408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647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odst. 5</w:t>
      </w:r>
      <w:r w:rsidR="00DB560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E3FB769" w14:textId="265CD636" w:rsidR="00AD16F7" w:rsidRDefault="00D7740E" w:rsidP="00A711C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Vzhledem k transpozici </w:t>
      </w:r>
      <w:r w:rsidRPr="00A711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směrnice </w:t>
      </w:r>
      <w:r w:rsidRPr="00A711C6">
        <w:rPr>
          <w:rFonts w:ascii="Times New Roman" w:hAnsi="Times New Roman"/>
          <w:sz w:val="24"/>
        </w:rPr>
        <w:t>Komise (EU) 2019/1833, kterou se mění přílohy I, III, V</w:t>
      </w:r>
      <w:r w:rsidR="00894674">
        <w:rPr>
          <w:rFonts w:ascii="Times New Roman" w:hAnsi="Times New Roman"/>
          <w:sz w:val="24"/>
        </w:rPr>
        <w:t> </w:t>
      </w:r>
      <w:r w:rsidRPr="00A711C6">
        <w:rPr>
          <w:rFonts w:ascii="Times New Roman" w:hAnsi="Times New Roman"/>
          <w:sz w:val="24"/>
        </w:rPr>
        <w:t>a</w:t>
      </w:r>
      <w:r w:rsidR="00894674">
        <w:rPr>
          <w:rFonts w:ascii="Times New Roman" w:hAnsi="Times New Roman"/>
          <w:sz w:val="24"/>
        </w:rPr>
        <w:t> </w:t>
      </w:r>
      <w:r w:rsidRPr="00A711C6">
        <w:rPr>
          <w:rFonts w:ascii="Times New Roman" w:hAnsi="Times New Roman"/>
          <w:sz w:val="24"/>
        </w:rPr>
        <w:t>VI směrnice Evropského parlamentu a Rady 2000/54/ES</w:t>
      </w:r>
      <w:r>
        <w:rPr>
          <w:rFonts w:ascii="Times New Roman" w:hAnsi="Times New Roman"/>
          <w:sz w:val="24"/>
        </w:rPr>
        <w:t xml:space="preserve"> bylo nutné upravit po</w:t>
      </w:r>
      <w:r w:rsidR="004308AF">
        <w:rPr>
          <w:rFonts w:ascii="Times New Roman" w:hAnsi="Times New Roman"/>
          <w:sz w:val="24"/>
        </w:rPr>
        <w:t>ž</w:t>
      </w:r>
      <w:r>
        <w:rPr>
          <w:rFonts w:ascii="Times New Roman" w:hAnsi="Times New Roman"/>
          <w:sz w:val="24"/>
        </w:rPr>
        <w:t xml:space="preserve">adavky na hygienickou </w:t>
      </w:r>
      <w:r w:rsidR="004308AF">
        <w:rPr>
          <w:rFonts w:ascii="Times New Roman" w:hAnsi="Times New Roman"/>
          <w:sz w:val="24"/>
        </w:rPr>
        <w:t xml:space="preserve">smyčku. </w:t>
      </w:r>
      <w:r w:rsidR="0006280D">
        <w:rPr>
          <w:rFonts w:ascii="Times New Roman" w:hAnsi="Times New Roman"/>
          <w:sz w:val="24"/>
        </w:rPr>
        <w:t>Hygienickou smyčkou</w:t>
      </w:r>
      <w:r w:rsidR="0006280D" w:rsidRPr="0006280D">
        <w:rPr>
          <w:rFonts w:ascii="Times New Roman" w:hAnsi="Times New Roman"/>
          <w:sz w:val="24"/>
        </w:rPr>
        <w:t xml:space="preserve"> </w:t>
      </w:r>
      <w:r w:rsidR="00312903" w:rsidRPr="00312903">
        <w:rPr>
          <w:rFonts w:ascii="Times New Roman" w:hAnsi="Times New Roman"/>
          <w:sz w:val="24"/>
        </w:rPr>
        <w:t>je oddělený prostor s omezeným přístupem, pokud možno vzájemně blokovanými dveřmi, jehož neexponovaná část musí být oddělena dveřmi od exponované části a průchozí sprchou mezi šatnou pro pracovní a civilní oděv.</w:t>
      </w:r>
      <w:r w:rsidR="002E24E1">
        <w:rPr>
          <w:rFonts w:ascii="Times New Roman" w:hAnsi="Times New Roman"/>
          <w:sz w:val="24"/>
        </w:rPr>
        <w:t xml:space="preserve"> Exponovanou částí je ta část, </w:t>
      </w:r>
      <w:r w:rsidR="000432FF">
        <w:rPr>
          <w:rFonts w:ascii="Times New Roman" w:hAnsi="Times New Roman"/>
          <w:sz w:val="24"/>
        </w:rPr>
        <w:t xml:space="preserve">ve které dochází </w:t>
      </w:r>
      <w:r w:rsidR="00E842C6">
        <w:rPr>
          <w:rFonts w:ascii="Times New Roman" w:hAnsi="Times New Roman"/>
          <w:sz w:val="24"/>
        </w:rPr>
        <w:t xml:space="preserve">k vystavení příslušnému agens/škodlivině. </w:t>
      </w:r>
    </w:p>
    <w:p w14:paraId="0326A97A" w14:textId="77777777" w:rsidR="006E3D6A" w:rsidRDefault="006E3D6A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F726286" w14:textId="3DF6EE6A" w:rsidR="00107E9E" w:rsidRPr="00C9399B" w:rsidRDefault="00E950CB" w:rsidP="00107E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071124">
        <w:rPr>
          <w:rFonts w:ascii="Times New Roman" w:hAnsi="Times New Roman" w:cs="Times New Roman"/>
          <w:b/>
          <w:bCs/>
          <w:sz w:val="24"/>
          <w:szCs w:val="24"/>
          <w:u w:val="single"/>
        </w:rPr>
        <w:t> bodu 40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71124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107E9E" w:rsidRPr="009E0E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§ </w:t>
      </w:r>
      <w:r w:rsidR="00107E9E">
        <w:rPr>
          <w:rFonts w:ascii="Times New Roman" w:hAnsi="Times New Roman" w:cs="Times New Roman"/>
          <w:b/>
          <w:bCs/>
          <w:sz w:val="24"/>
          <w:szCs w:val="24"/>
          <w:u w:val="single"/>
        </w:rPr>
        <w:t>54 odst. 6</w:t>
      </w:r>
      <w:r w:rsidR="0007112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7FB06CA" w14:textId="782100BC" w:rsidR="00107E9E" w:rsidRDefault="00555837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praxi</w:t>
      </w:r>
      <w:r w:rsidR="00107E9E" w:rsidRPr="00107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často </w:t>
      </w:r>
      <w:r w:rsidR="00107E9E" w:rsidRPr="00107E9E">
        <w:rPr>
          <w:rFonts w:ascii="Times New Roman" w:eastAsia="Times New Roman" w:hAnsi="Times New Roman" w:cs="Times New Roman"/>
          <w:sz w:val="24"/>
          <w:szCs w:val="24"/>
          <w:lang w:eastAsia="cs-CZ"/>
        </w:rPr>
        <w:t>objev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ovaly</w:t>
      </w:r>
      <w:r w:rsidR="00107E9E" w:rsidRPr="00107E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případy, kdy se pro jeden záchod (podle stávajícího textu) předsíň nezřiz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ovala, neboť chybným výkladem docházelo k tomu, že je povinnost ji zřídit pouze v případě vícero záchodů.</w:t>
      </w:r>
    </w:p>
    <w:p w14:paraId="1EAF0E35" w14:textId="77777777" w:rsidR="00107E9E" w:rsidRDefault="00107E9E" w:rsidP="004103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14:paraId="2B3FA05C" w14:textId="62EC75A4" w:rsidR="00574134" w:rsidRPr="0027786C" w:rsidRDefault="00E950CB" w:rsidP="00F857B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F766A9">
        <w:rPr>
          <w:rFonts w:ascii="Times New Roman" w:hAnsi="Times New Roman" w:cs="Times New Roman"/>
          <w:b/>
          <w:bCs/>
          <w:sz w:val="24"/>
          <w:szCs w:val="24"/>
          <w:u w:val="single"/>
        </w:rPr>
        <w:t> bodu 41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66A9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574134" w:rsidRPr="0027786C">
        <w:rPr>
          <w:rFonts w:ascii="Times New Roman" w:hAnsi="Times New Roman" w:cs="Times New Roman"/>
          <w:b/>
          <w:bCs/>
          <w:sz w:val="24"/>
          <w:szCs w:val="24"/>
          <w:u w:val="single"/>
        </w:rPr>
        <w:t>§ 5</w:t>
      </w:r>
      <w:r w:rsidR="003409E7" w:rsidRPr="0027786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74134" w:rsidRPr="002778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odst. </w:t>
      </w:r>
      <w:r w:rsidR="003409E7" w:rsidRPr="0027786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F766A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6EB99B0" w14:textId="5B88F3F1" w:rsidR="001D13FF" w:rsidRDefault="006A4587" w:rsidP="00F857B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86C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Provedená změna narov</w:t>
      </w:r>
      <w:r w:rsidR="002D1995" w:rsidRPr="0027786C">
        <w:rPr>
          <w:rFonts w:ascii="Times New Roman" w:eastAsia="Times New Roman" w:hAnsi="Times New Roman" w:cs="Times New Roman"/>
          <w:sz w:val="24"/>
          <w:szCs w:val="24"/>
          <w:lang w:eastAsia="cs-CZ"/>
        </w:rPr>
        <w:t>nala chybně uvedené ustanovení (</w:t>
      </w:r>
      <w:r w:rsidR="002818DA" w:rsidRPr="00281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</w:t>
      </w:r>
      <w:r w:rsidR="00281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45 odst. </w:t>
      </w:r>
      <w:r w:rsidR="00F857B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81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namísto </w:t>
      </w:r>
      <w:r w:rsidR="002818DA" w:rsidRPr="002818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</w:t>
      </w:r>
      <w:r w:rsidR="002818D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F857B7">
        <w:rPr>
          <w:rFonts w:ascii="Times New Roman" w:eastAsia="Times New Roman" w:hAnsi="Times New Roman" w:cs="Times New Roman"/>
          <w:sz w:val="24"/>
          <w:szCs w:val="24"/>
          <w:lang w:eastAsia="cs-CZ"/>
        </w:rPr>
        <w:t>5a odst. 1</w:t>
      </w:r>
      <w:r w:rsidR="001D13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upravuje </w:t>
      </w:r>
      <w:r w:rsidR="00416C3E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 na</w:t>
      </w:r>
      <w:r w:rsidR="00B537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denní osvětlení </w:t>
      </w:r>
      <w:r w:rsidR="00416C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místnosti pro odpočinek. </w:t>
      </w:r>
      <w:r w:rsidR="00C17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CB1A19C" w14:textId="77777777" w:rsidR="00555837" w:rsidRDefault="00F857B7" w:rsidP="00555837">
      <w:pPr>
        <w:widowControl w:val="0"/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577734" w14:textId="5162483A" w:rsidR="00AD10F5" w:rsidRDefault="00E950CB" w:rsidP="00410312">
      <w:pPr>
        <w:pStyle w:val="l4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6061B8">
        <w:rPr>
          <w:b/>
          <w:bCs/>
          <w:u w:val="single"/>
        </w:rPr>
        <w:t xml:space="preserve"> bodu 42</w:t>
      </w:r>
      <w:r>
        <w:rPr>
          <w:b/>
          <w:bCs/>
          <w:u w:val="single"/>
        </w:rPr>
        <w:t xml:space="preserve"> </w:t>
      </w:r>
      <w:r w:rsidR="006061B8">
        <w:rPr>
          <w:b/>
          <w:bCs/>
          <w:u w:val="single"/>
        </w:rPr>
        <w:t>(</w:t>
      </w:r>
      <w:r w:rsidR="0062369E" w:rsidRPr="0062369E">
        <w:rPr>
          <w:b/>
          <w:bCs/>
          <w:u w:val="single"/>
        </w:rPr>
        <w:t>Příloha č. 2, část A</w:t>
      </w:r>
      <w:r w:rsidR="006061B8">
        <w:rPr>
          <w:b/>
          <w:bCs/>
          <w:u w:val="single"/>
        </w:rPr>
        <w:t>)</w:t>
      </w:r>
    </w:p>
    <w:p w14:paraId="618FAA94" w14:textId="2F99BBCC" w:rsidR="00601CC8" w:rsidRPr="00F62CEC" w:rsidRDefault="00521137" w:rsidP="00410312">
      <w:pPr>
        <w:pStyle w:val="l4"/>
        <w:shd w:val="clear" w:color="auto" w:fill="FFFFFF"/>
        <w:spacing w:before="0" w:beforeAutospacing="0" w:after="0" w:afterAutospacing="0"/>
        <w:jc w:val="both"/>
      </w:pPr>
      <w:r w:rsidRPr="00F62CEC">
        <w:t>Tabulka obsahuje seznam chemických látek a jejich přípustných expozičních limitů a</w:t>
      </w:r>
      <w:r w:rsidR="00A6627D">
        <w:t> </w:t>
      </w:r>
      <w:r w:rsidRPr="00F62CEC">
        <w:t xml:space="preserve">nejvyšších přípustných koncentrací. </w:t>
      </w:r>
      <w:r w:rsidR="00AE375C" w:rsidRPr="00F62CEC">
        <w:t>Vzhledem k úpravám d</w:t>
      </w:r>
      <w:r w:rsidR="00601CC8" w:rsidRPr="00F62CEC">
        <w:t>ošlo k vypuštění tabulky a jejímu novému nahrazení</w:t>
      </w:r>
      <w:r w:rsidR="00AD10F5" w:rsidRPr="00F62CEC">
        <w:t>, a to</w:t>
      </w:r>
      <w:r w:rsidR="00AE375C" w:rsidRPr="00F62CEC">
        <w:t xml:space="preserve"> </w:t>
      </w:r>
      <w:r w:rsidRPr="00F62CEC">
        <w:t>zejména</w:t>
      </w:r>
      <w:r w:rsidR="00AE375C" w:rsidRPr="00F62CEC">
        <w:t xml:space="preserve"> pro </w:t>
      </w:r>
      <w:r w:rsidR="007D1960" w:rsidRPr="00F62CEC">
        <w:t>úpravy – nadbytečná</w:t>
      </w:r>
      <w:r w:rsidRPr="00F62CEC">
        <w:t xml:space="preserve"> interpunkční znaménka,</w:t>
      </w:r>
      <w:r w:rsidR="008833C1" w:rsidRPr="00F62CEC">
        <w:t xml:space="preserve"> doplnění </w:t>
      </w:r>
      <w:r w:rsidR="00AE375C" w:rsidRPr="00F62CEC">
        <w:t>časové použitelnosti limitu a u některých chemický</w:t>
      </w:r>
      <w:r w:rsidR="00DC6827" w:rsidRPr="00F62CEC">
        <w:t>ch látek a směsí došlo k úpravám viz níže</w:t>
      </w:r>
      <w:r w:rsidR="00601CC8" w:rsidRPr="00F62CEC">
        <w:t xml:space="preserve">. </w:t>
      </w:r>
    </w:p>
    <w:p w14:paraId="5D304BB3" w14:textId="77777777" w:rsidR="00280196" w:rsidRDefault="00280196" w:rsidP="00410312">
      <w:pPr>
        <w:pStyle w:val="l4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14:paraId="63F8675E" w14:textId="6C67944A" w:rsidR="007275CB" w:rsidRDefault="00B80CC5" w:rsidP="00A3671D">
      <w:pPr>
        <w:pStyle w:val="l4"/>
        <w:shd w:val="clear" w:color="auto" w:fill="FFFFFF"/>
        <w:spacing w:before="0" w:beforeAutospacing="0" w:after="0" w:afterAutospacing="0"/>
        <w:jc w:val="both"/>
      </w:pPr>
      <w:r>
        <w:rPr>
          <w:rFonts w:eastAsia="Noto Sans CJK SC Regular"/>
          <w:kern w:val="2"/>
          <w:lang w:eastAsia="zh-CN" w:bidi="hi-IN"/>
        </w:rPr>
        <w:t xml:space="preserve">Ad </w:t>
      </w:r>
      <w:r w:rsidR="002000A4" w:rsidRPr="000E1D53">
        <w:rPr>
          <w:rFonts w:eastAsia="Noto Sans CJK SC Regular"/>
          <w:kern w:val="2"/>
          <w:lang w:eastAsia="zh-CN" w:bidi="hi-IN"/>
        </w:rPr>
        <w:t>arsen</w:t>
      </w:r>
      <w:r w:rsidR="002000A4">
        <w:rPr>
          <w:rFonts w:eastAsia="Noto Sans CJK SC Regular"/>
          <w:kern w:val="2"/>
          <w:lang w:eastAsia="zh-CN" w:bidi="hi-IN"/>
        </w:rPr>
        <w:t>u</w:t>
      </w:r>
      <w:r w:rsidR="002000A4" w:rsidRPr="000E1D53">
        <w:rPr>
          <w:rFonts w:eastAsia="Noto Sans CJK SC Regular"/>
          <w:kern w:val="2"/>
          <w:lang w:eastAsia="zh-CN" w:bidi="hi-IN"/>
        </w:rPr>
        <w:t xml:space="preserve"> anorganické sloučeniny, kyselin</w:t>
      </w:r>
      <w:r w:rsidR="002000A4">
        <w:rPr>
          <w:rFonts w:eastAsia="Noto Sans CJK SC Regular"/>
          <w:kern w:val="2"/>
          <w:lang w:eastAsia="zh-CN" w:bidi="hi-IN"/>
        </w:rPr>
        <w:t>ě</w:t>
      </w:r>
      <w:r w:rsidR="002000A4" w:rsidRPr="000E1D53">
        <w:rPr>
          <w:rFonts w:eastAsia="Noto Sans CJK SC Regular"/>
          <w:kern w:val="2"/>
          <w:lang w:eastAsia="zh-CN" w:bidi="hi-IN"/>
        </w:rPr>
        <w:t xml:space="preserve"> arseničná a její soli v odvětví tavby mědi</w:t>
      </w:r>
      <w:r w:rsidR="002000A4">
        <w:rPr>
          <w:rFonts w:eastAsia="Noto Sans CJK SC Regular"/>
          <w:kern w:val="2"/>
          <w:lang w:eastAsia="zh-CN" w:bidi="hi-IN"/>
        </w:rPr>
        <w:t xml:space="preserve">: </w:t>
      </w:r>
      <w:r w:rsidR="00D606F7" w:rsidRPr="000E1D53">
        <w:rPr>
          <w:rFonts w:eastAsia="Noto Sans CJK SC Regular"/>
          <w:kern w:val="2"/>
          <w:lang w:eastAsia="zh-CN" w:bidi="hi-IN"/>
        </w:rPr>
        <w:t>NPK-P</w:t>
      </w:r>
      <w:r w:rsidR="00D606F7">
        <w:rPr>
          <w:rFonts w:eastAsia="Noto Sans CJK SC Regular"/>
          <w:kern w:val="2"/>
          <w:lang w:eastAsia="zh-CN" w:bidi="hi-IN"/>
        </w:rPr>
        <w:t xml:space="preserve"> (nejvyšší přípustná koncentrace)</w:t>
      </w:r>
      <w:r w:rsidR="00D606F7" w:rsidRPr="000E1D53">
        <w:rPr>
          <w:rFonts w:eastAsia="Noto Sans CJK SC Regular"/>
          <w:kern w:val="2"/>
          <w:lang w:eastAsia="zh-CN" w:bidi="hi-IN"/>
        </w:rPr>
        <w:t xml:space="preserve"> </w:t>
      </w:r>
      <w:r w:rsidR="00D606F7">
        <w:rPr>
          <w:rFonts w:eastAsia="Noto Sans CJK SC Regular"/>
          <w:kern w:val="2"/>
          <w:lang w:eastAsia="zh-CN" w:bidi="hi-IN"/>
        </w:rPr>
        <w:t>u</w:t>
      </w:r>
      <w:r w:rsidR="00747662">
        <w:rPr>
          <w:rFonts w:eastAsia="Noto Sans CJK SC Regular"/>
          <w:kern w:val="2"/>
          <w:lang w:eastAsia="zh-CN" w:bidi="hi-IN"/>
        </w:rPr>
        <w:t xml:space="preserve"> </w:t>
      </w:r>
      <w:r w:rsidR="00D606F7">
        <w:rPr>
          <w:rFonts w:eastAsia="Noto Sans CJK SC Regular"/>
          <w:kern w:val="2"/>
          <w:lang w:eastAsia="zh-CN" w:bidi="hi-IN"/>
        </w:rPr>
        <w:t>je</w:t>
      </w:r>
      <w:r w:rsidR="00A3671D">
        <w:rPr>
          <w:rFonts w:eastAsia="Noto Sans CJK SC Regular"/>
          <w:kern w:val="2"/>
          <w:lang w:eastAsia="zh-CN" w:bidi="hi-IN"/>
        </w:rPr>
        <w:t xml:space="preserve"> 0,02</w:t>
      </w:r>
      <w:r w:rsidR="00D606F7">
        <w:rPr>
          <w:rFonts w:eastAsia="Noto Sans CJK SC Regular"/>
          <w:kern w:val="2"/>
          <w:lang w:eastAsia="zh-CN" w:bidi="hi-IN"/>
        </w:rPr>
        <w:t xml:space="preserve"> </w:t>
      </w:r>
      <w:r w:rsidR="00D606F7" w:rsidRPr="000E1D53">
        <w:rPr>
          <w:rFonts w:eastAsia="Noto Sans CJK SC Regular"/>
          <w:kern w:val="2"/>
          <w:lang w:eastAsia="zh-CN" w:bidi="hi-IN"/>
        </w:rPr>
        <w:t>mg.m‾</w:t>
      </w:r>
      <w:r w:rsidR="00D606F7" w:rsidRPr="000E1D53">
        <w:rPr>
          <w:rFonts w:eastAsia="Noto Sans CJK SC Regular"/>
          <w:kern w:val="2"/>
          <w:vertAlign w:val="superscript"/>
          <w:lang w:eastAsia="zh-CN" w:bidi="hi-IN"/>
        </w:rPr>
        <w:t>3</w:t>
      </w:r>
      <w:r w:rsidR="00A3671D">
        <w:t xml:space="preserve">.  </w:t>
      </w:r>
    </w:p>
    <w:p w14:paraId="1D4A6253" w14:textId="77777777" w:rsidR="008F21D7" w:rsidRDefault="008F21D7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03AD3485" w14:textId="372FFA0B" w:rsidR="00B80CC5" w:rsidRDefault="002000A4" w:rsidP="00A3671D">
      <w:pPr>
        <w:pStyle w:val="l4"/>
        <w:shd w:val="clear" w:color="auto" w:fill="FFFFFF"/>
        <w:spacing w:before="0" w:beforeAutospacing="0" w:after="0" w:afterAutospacing="0"/>
        <w:jc w:val="both"/>
      </w:pPr>
      <w:r>
        <w:t xml:space="preserve">Ad benzenu: </w:t>
      </w:r>
      <w:r w:rsidR="004379D1">
        <w:t>Směrnice EU o</w:t>
      </w:r>
      <w:r w:rsidR="004379D1" w:rsidRPr="004379D1">
        <w:t xml:space="preserve">d 5. 4. 2026 limit NPK-P </w:t>
      </w:r>
      <w:r w:rsidR="004379D1">
        <w:rPr>
          <w:rFonts w:eastAsia="Noto Sans CJK SC Regular"/>
          <w:kern w:val="2"/>
          <w:lang w:eastAsia="zh-CN" w:bidi="hi-IN"/>
        </w:rPr>
        <w:t xml:space="preserve">(nejvyšší přípustná koncentrace) </w:t>
      </w:r>
      <w:r w:rsidR="004379D1" w:rsidRPr="004379D1">
        <w:t>u látek CMR kat</w:t>
      </w:r>
      <w:r w:rsidR="005C2EC1">
        <w:t>egorie</w:t>
      </w:r>
      <w:r w:rsidR="004379D1" w:rsidRPr="004379D1">
        <w:t xml:space="preserve"> 1 </w:t>
      </w:r>
      <w:r w:rsidR="005C2EC1">
        <w:t xml:space="preserve">neuvádí </w:t>
      </w:r>
      <w:r w:rsidR="004379D1" w:rsidRPr="004379D1">
        <w:t>pro krátkodobou expozici, pokud látka nemá akutní účinek</w:t>
      </w:r>
      <w:r w:rsidR="00102B56">
        <w:t xml:space="preserve">, z toho důvodu byla doplněna </w:t>
      </w:r>
      <w:r w:rsidR="00695A61">
        <w:t>časová použitelnost limitu</w:t>
      </w:r>
      <w:r w:rsidR="00902B35">
        <w:t xml:space="preserve"> pro tuto sloučeninu.</w:t>
      </w:r>
      <w:r w:rsidR="00695A61">
        <w:t xml:space="preserve"> </w:t>
      </w:r>
    </w:p>
    <w:p w14:paraId="689FF40C" w14:textId="77777777" w:rsidR="009529E1" w:rsidRDefault="009529E1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02368857" w14:textId="49364109" w:rsidR="003A2602" w:rsidRDefault="003A2602" w:rsidP="00A3671D">
      <w:pPr>
        <w:pStyle w:val="l4"/>
        <w:shd w:val="clear" w:color="auto" w:fill="FFFFFF"/>
        <w:spacing w:before="0" w:beforeAutospacing="0" w:after="0" w:afterAutospacing="0"/>
        <w:jc w:val="both"/>
      </w:pPr>
      <w:r>
        <w:t xml:space="preserve">Ad </w:t>
      </w:r>
      <w:r w:rsidR="00214D9B">
        <w:t xml:space="preserve">formaldehydu: </w:t>
      </w:r>
      <w:r w:rsidR="00915B7E">
        <w:t>vzhledem k tomu, že od 12.7.</w:t>
      </w:r>
      <w:r w:rsidR="00331229">
        <w:t>2024 je jednotný termín pro formaldehy</w:t>
      </w:r>
      <w:r w:rsidR="0013112D">
        <w:t xml:space="preserve">d, bylo odstraněno jeho rozdělený </w:t>
      </w:r>
      <w:r w:rsidR="00D52274">
        <w:t>pro oblast</w:t>
      </w:r>
      <w:r w:rsidR="00B420B3">
        <w:t xml:space="preserve">i </w:t>
      </w:r>
      <w:r w:rsidR="009538A8">
        <w:t>po</w:t>
      </w:r>
      <w:r w:rsidR="00B420B3">
        <w:t xml:space="preserve">dle služeb. </w:t>
      </w:r>
    </w:p>
    <w:p w14:paraId="07776F86" w14:textId="77777777" w:rsidR="003A2602" w:rsidRDefault="003A2602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68856D01" w14:textId="423AC864" w:rsidR="009529E1" w:rsidRDefault="009529E1" w:rsidP="00A3671D">
      <w:pPr>
        <w:pStyle w:val="l4"/>
        <w:shd w:val="clear" w:color="auto" w:fill="FFFFFF"/>
        <w:spacing w:before="0" w:beforeAutospacing="0" w:after="0" w:afterAutospacing="0"/>
        <w:jc w:val="both"/>
      </w:pPr>
      <w:r>
        <w:t>Ad fo</w:t>
      </w:r>
      <w:r w:rsidR="00C90B44">
        <w:t>sfor</w:t>
      </w:r>
      <w:r w:rsidR="00D364FD">
        <w:t>u</w:t>
      </w:r>
      <w:r w:rsidR="00C90B44">
        <w:t xml:space="preserve"> (bílý, žlutý): </w:t>
      </w:r>
      <w:r w:rsidR="002235FD">
        <w:t xml:space="preserve">Došlo </w:t>
      </w:r>
      <w:r w:rsidR="00896681">
        <w:t>k odstranění chybného čísla CAS</w:t>
      </w:r>
      <w:r w:rsidR="002E12E7">
        <w:t xml:space="preserve"> (</w:t>
      </w:r>
      <w:r w:rsidR="002E12E7" w:rsidRPr="002E12E7">
        <w:t xml:space="preserve">mezinárodně uznávaný jednoznačný </w:t>
      </w:r>
      <w:r w:rsidR="000F4289" w:rsidRPr="000F4289">
        <w:t xml:space="preserve">registrační číslo používané v </w:t>
      </w:r>
      <w:proofErr w:type="spellStart"/>
      <w:r w:rsidR="000F4289" w:rsidRPr="000F4289">
        <w:t>Chemical</w:t>
      </w:r>
      <w:proofErr w:type="spellEnd"/>
      <w:r w:rsidR="000F4289" w:rsidRPr="000F4289">
        <w:t xml:space="preserve"> </w:t>
      </w:r>
      <w:proofErr w:type="spellStart"/>
      <w:r w:rsidR="000F4289" w:rsidRPr="000F4289">
        <w:t>Abstracts</w:t>
      </w:r>
      <w:proofErr w:type="spellEnd"/>
      <w:r w:rsidR="000F4289" w:rsidRPr="000F4289">
        <w:t xml:space="preserve"> </w:t>
      </w:r>
      <w:proofErr w:type="spellStart"/>
      <w:r w:rsidR="000F4289" w:rsidRPr="000F4289">
        <w:t>Service</w:t>
      </w:r>
      <w:proofErr w:type="spellEnd"/>
      <w:r w:rsidR="000F4289">
        <w:t>, dále pouze „CAS“)</w:t>
      </w:r>
      <w:r w:rsidR="00896681">
        <w:t xml:space="preserve"> pro </w:t>
      </w:r>
      <w:r w:rsidR="0092597F">
        <w:t>fosfor (bílý, žlutý) a doplněno bylo správné CAS číslo (</w:t>
      </w:r>
      <w:r w:rsidR="0092597F" w:rsidRPr="0092597F">
        <w:t>12185</w:t>
      </w:r>
      <w:r w:rsidR="00E62283">
        <w:t>-</w:t>
      </w:r>
      <w:r w:rsidR="0092597F" w:rsidRPr="0092597F">
        <w:t>10-3</w:t>
      </w:r>
      <w:r w:rsidR="0092597F">
        <w:t>).</w:t>
      </w:r>
    </w:p>
    <w:p w14:paraId="7152290C" w14:textId="77777777" w:rsidR="00D364FD" w:rsidRDefault="00D364FD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116D2E44" w14:textId="13E8471B" w:rsidR="009214F9" w:rsidRDefault="00D364FD" w:rsidP="00A3671D">
      <w:pPr>
        <w:pStyle w:val="l4"/>
        <w:shd w:val="clear" w:color="auto" w:fill="FFFFFF"/>
        <w:spacing w:before="0" w:beforeAutospacing="0" w:after="0" w:afterAutospacing="0"/>
        <w:jc w:val="both"/>
      </w:pPr>
      <w:r>
        <w:t xml:space="preserve">Ad </w:t>
      </w:r>
      <w:r w:rsidR="005820D2">
        <w:t xml:space="preserve">hydroxidu vápenatému: doplněn </w:t>
      </w:r>
      <w:r w:rsidR="00C1773E">
        <w:t xml:space="preserve">absentující </w:t>
      </w:r>
      <w:r w:rsidR="005820D2">
        <w:t>horní inde</w:t>
      </w:r>
      <w:r w:rsidR="00D545B9">
        <w:t>x (R)</w:t>
      </w:r>
      <w:r w:rsidR="00A953F1">
        <w:t xml:space="preserve"> (</w:t>
      </w:r>
      <w:proofErr w:type="spellStart"/>
      <w:r w:rsidR="00A953F1" w:rsidRPr="00A953F1">
        <w:t>respirabilní</w:t>
      </w:r>
      <w:proofErr w:type="spellEnd"/>
      <w:r w:rsidR="00A953F1" w:rsidRPr="00A953F1">
        <w:t xml:space="preserve"> frakce aerosolu</w:t>
      </w:r>
      <w:r w:rsidR="00A953F1">
        <w:t>)</w:t>
      </w:r>
      <w:r w:rsidR="00D545B9">
        <w:t xml:space="preserve"> </w:t>
      </w:r>
      <w:r w:rsidR="006B7785">
        <w:t>u</w:t>
      </w:r>
      <w:r w:rsidR="004845F1">
        <w:t> </w:t>
      </w:r>
      <w:r w:rsidR="006B7785">
        <w:t xml:space="preserve">hodnoty NPK-P. </w:t>
      </w:r>
    </w:p>
    <w:p w14:paraId="3D45C68C" w14:textId="4ACBE09F" w:rsidR="00A3671D" w:rsidRDefault="006A16F2" w:rsidP="00F22F9E">
      <w:pPr>
        <w:pStyle w:val="l4"/>
        <w:shd w:val="clear" w:color="auto" w:fill="FFFFFF"/>
        <w:jc w:val="both"/>
      </w:pPr>
      <w:r>
        <w:lastRenderedPageBreak/>
        <w:t xml:space="preserve">Ad </w:t>
      </w:r>
      <w:r w:rsidRPr="006A16F2">
        <w:t>niklu sloučeniny, jako Ni</w:t>
      </w:r>
      <w:r w:rsidR="007C23E9">
        <w:t>:</w:t>
      </w:r>
      <w:r w:rsidR="00947AD3">
        <w:t xml:space="preserve"> </w:t>
      </w:r>
      <w:r w:rsidR="00331833">
        <w:t>expozice sloučeninám niklu na pracovišti může rovněž vést k</w:t>
      </w:r>
      <w:r w:rsidR="001309CD">
        <w:t> </w:t>
      </w:r>
      <w:r w:rsidR="00331833">
        <w:t xml:space="preserve">senzibilizaci kůže a senzibilizaci dýchacích cest </w:t>
      </w:r>
      <w:r w:rsidR="00B64611">
        <w:t>p</w:t>
      </w:r>
      <w:r w:rsidR="00947AD3">
        <w:t xml:space="preserve">odle Směrnice </w:t>
      </w:r>
      <w:r w:rsidR="00F46513">
        <w:t>Evropského parlamentu a</w:t>
      </w:r>
      <w:r w:rsidR="00ED2CBC">
        <w:t> </w:t>
      </w:r>
      <w:r w:rsidR="00F46513">
        <w:t xml:space="preserve">Rady (EU) </w:t>
      </w:r>
      <w:r w:rsidR="00947AD3">
        <w:t>2022/431 ze dne 9. března 2022</w:t>
      </w:r>
      <w:r w:rsidR="00A3196C">
        <w:t>, kterou se mění směrnice 2004/37/ES o ochraně zaměstnanců před riziky spojenými s expozicí karcinogenům nebo mutagenům při práci</w:t>
      </w:r>
      <w:r w:rsidR="0035401E">
        <w:t xml:space="preserve">. </w:t>
      </w:r>
      <w:r w:rsidR="00650E23">
        <w:t xml:space="preserve"> </w:t>
      </w:r>
      <w:r w:rsidR="007649CB" w:rsidRPr="007649CB">
        <w:t xml:space="preserve">Od 18.1.2025 přibude limit i pro </w:t>
      </w:r>
      <w:proofErr w:type="spellStart"/>
      <w:r w:rsidR="007649CB" w:rsidRPr="007649CB">
        <w:t>respirabilní</w:t>
      </w:r>
      <w:proofErr w:type="spellEnd"/>
      <w:r w:rsidR="007649CB" w:rsidRPr="007649CB">
        <w:t xml:space="preserve"> frakci 0,01 mg</w:t>
      </w:r>
      <w:r w:rsidR="00FD1890">
        <w:t>.</w:t>
      </w:r>
      <w:r w:rsidR="007649CB" w:rsidRPr="007649CB">
        <w:t>m</w:t>
      </w:r>
      <w:r w:rsidR="00FD1890" w:rsidRPr="00FD1890">
        <w:rPr>
          <w:vertAlign w:val="superscript"/>
        </w:rPr>
        <w:t>-</w:t>
      </w:r>
      <w:r w:rsidR="007649CB" w:rsidRPr="00FD1890">
        <w:rPr>
          <w:vertAlign w:val="superscript"/>
        </w:rPr>
        <w:t>3</w:t>
      </w:r>
      <w:r w:rsidR="007649CB" w:rsidRPr="007649CB">
        <w:t>.</w:t>
      </w:r>
      <w:r w:rsidR="0035401E">
        <w:t xml:space="preserve"> Dále bude </w:t>
      </w:r>
      <w:r w:rsidR="00E127F0">
        <w:t>od 18.1.2025</w:t>
      </w:r>
      <w:r w:rsidR="00033AD6">
        <w:t xml:space="preserve"> </w:t>
      </w:r>
      <w:r w:rsidR="00C051A2">
        <w:t xml:space="preserve">pro sloučeniny niklu (bez výjimek) platit </w:t>
      </w:r>
      <w:r w:rsidR="00927635">
        <w:t xml:space="preserve">pro </w:t>
      </w:r>
      <w:proofErr w:type="spellStart"/>
      <w:r w:rsidR="00751C19">
        <w:t>vdechovatelnou</w:t>
      </w:r>
      <w:proofErr w:type="spellEnd"/>
      <w:r w:rsidR="00751C19">
        <w:t xml:space="preserve"> frakci limit </w:t>
      </w:r>
      <w:r w:rsidR="00751C19" w:rsidRPr="007649CB">
        <w:t>0,0</w:t>
      </w:r>
      <w:r w:rsidR="00D32D55">
        <w:t>5</w:t>
      </w:r>
      <w:r w:rsidR="00751C19" w:rsidRPr="007649CB">
        <w:t xml:space="preserve"> mg</w:t>
      </w:r>
      <w:r w:rsidR="00751C19">
        <w:t>.</w:t>
      </w:r>
      <w:r w:rsidR="00751C19" w:rsidRPr="007649CB">
        <w:t>m</w:t>
      </w:r>
      <w:r w:rsidR="00751C19" w:rsidRPr="00FD1890">
        <w:rPr>
          <w:vertAlign w:val="superscript"/>
        </w:rPr>
        <w:t>-3</w:t>
      </w:r>
      <w:r w:rsidR="00751C19" w:rsidRPr="007649CB">
        <w:t>.</w:t>
      </w:r>
    </w:p>
    <w:p w14:paraId="2DF8B724" w14:textId="12AF364E" w:rsidR="0099736A" w:rsidRDefault="00202C97" w:rsidP="0099736A">
      <w:pPr>
        <w:pStyle w:val="l4"/>
        <w:shd w:val="clear" w:color="auto" w:fill="FFFFFF"/>
        <w:spacing w:before="0" w:beforeAutospacing="0" w:after="0" w:afterAutospacing="0"/>
        <w:jc w:val="both"/>
      </w:pPr>
      <w:r>
        <w:t xml:space="preserve">Ad </w:t>
      </w:r>
      <w:r w:rsidR="00EB25CE" w:rsidRPr="00EB25CE">
        <w:t>oxid</w:t>
      </w:r>
      <w:r w:rsidR="00A373F0">
        <w:t>u</w:t>
      </w:r>
      <w:r w:rsidR="00EB25CE" w:rsidRPr="00EB25CE">
        <w:t xml:space="preserve"> dusičit</w:t>
      </w:r>
      <w:r w:rsidR="00A373F0">
        <w:t>ému</w:t>
      </w:r>
      <w:r w:rsidR="00EB25CE" w:rsidRPr="00EB25CE">
        <w:t xml:space="preserve"> mimo hlubinnou těžbu a ražení tunelů</w:t>
      </w:r>
      <w:r w:rsidR="00EB25CE">
        <w:t xml:space="preserve">; </w:t>
      </w:r>
      <w:r w:rsidR="00FA0B81" w:rsidRPr="00FA0B81">
        <w:t>oxid</w:t>
      </w:r>
      <w:r w:rsidR="00A373F0">
        <w:t>u</w:t>
      </w:r>
      <w:r w:rsidR="00FA0B81" w:rsidRPr="00FA0B81">
        <w:t xml:space="preserve"> dusičit</w:t>
      </w:r>
      <w:r w:rsidR="00A373F0">
        <w:t>ému</w:t>
      </w:r>
      <w:r w:rsidR="00FA0B81" w:rsidRPr="00FA0B81">
        <w:t xml:space="preserve"> při hlubinné těžbě a ražení tunelů</w:t>
      </w:r>
      <w:r w:rsidR="006328F2">
        <w:t>:</w:t>
      </w:r>
      <w:r w:rsidR="00A373F0" w:rsidRPr="00A373F0">
        <w:t xml:space="preserve"> Oxid dusičitý měl rozdílné limity </w:t>
      </w:r>
      <w:r w:rsidR="00BB4CAF">
        <w:t>po</w:t>
      </w:r>
      <w:r w:rsidR="00A373F0" w:rsidRPr="00A373F0">
        <w:t>dle prostředí do 22. 8. 2023</w:t>
      </w:r>
      <w:r w:rsidR="00BB3049">
        <w:t xml:space="preserve">, nyní bez ohledu na prostředí je společný jeden limit, </w:t>
      </w:r>
      <w:r w:rsidR="00CE184D">
        <w:t xml:space="preserve">a </w:t>
      </w:r>
      <w:r w:rsidR="00BB3049">
        <w:t xml:space="preserve">proto uvedené rozdělení </w:t>
      </w:r>
      <w:r w:rsidR="00CE184D">
        <w:t>bylo odstraněno</w:t>
      </w:r>
      <w:r w:rsidR="0099736A">
        <w:t xml:space="preserve"> (v</w:t>
      </w:r>
      <w:r w:rsidR="00814DF1">
        <w:t> </w:t>
      </w:r>
      <w:r w:rsidR="0099736A">
        <w:t>tabulce tak zůstává pouze „oxid dusičitý“).</w:t>
      </w:r>
    </w:p>
    <w:p w14:paraId="2AEF7870" w14:textId="77777777" w:rsidR="006328F2" w:rsidRDefault="006328F2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6354CCCF" w14:textId="66C30D59" w:rsidR="006328F2" w:rsidRDefault="006328F2" w:rsidP="00A3671D">
      <w:pPr>
        <w:pStyle w:val="l4"/>
        <w:shd w:val="clear" w:color="auto" w:fill="FFFFFF"/>
        <w:spacing w:before="0" w:beforeAutospacing="0" w:after="0" w:afterAutospacing="0"/>
        <w:jc w:val="both"/>
      </w:pPr>
      <w:r>
        <w:t xml:space="preserve">Ad </w:t>
      </w:r>
      <w:r w:rsidRPr="006328F2">
        <w:t>oxid</w:t>
      </w:r>
      <w:r w:rsidR="00A373F0">
        <w:t>u</w:t>
      </w:r>
      <w:r w:rsidRPr="006328F2">
        <w:t xml:space="preserve"> dusnat</w:t>
      </w:r>
      <w:r w:rsidR="00A373F0">
        <w:t>ému</w:t>
      </w:r>
      <w:r w:rsidRPr="006328F2">
        <w:t xml:space="preserve"> mimo hlubinnou těžbu a ražení tunelů</w:t>
      </w:r>
      <w:r w:rsidR="00982D40">
        <w:t xml:space="preserve">; </w:t>
      </w:r>
      <w:r w:rsidR="00982D40" w:rsidRPr="00982D40">
        <w:t>oxid</w:t>
      </w:r>
      <w:r w:rsidR="00A373F0">
        <w:t>u</w:t>
      </w:r>
      <w:r w:rsidR="00982D40" w:rsidRPr="00982D40">
        <w:t xml:space="preserve"> dusnat</w:t>
      </w:r>
      <w:r w:rsidR="00A373F0">
        <w:t>ému</w:t>
      </w:r>
      <w:r w:rsidR="00982D40" w:rsidRPr="00982D40">
        <w:t xml:space="preserve"> při hlubinné těžbě a ražení tunelů</w:t>
      </w:r>
      <w:r w:rsidR="00982D40">
        <w:t xml:space="preserve">: </w:t>
      </w:r>
      <w:r w:rsidR="00A373F0" w:rsidRPr="00A373F0">
        <w:t>Oxid dus</w:t>
      </w:r>
      <w:r w:rsidR="00A373F0">
        <w:t xml:space="preserve">natý </w:t>
      </w:r>
      <w:r w:rsidR="00A373F0" w:rsidRPr="00A373F0">
        <w:t xml:space="preserve">měl rozdílné limity </w:t>
      </w:r>
      <w:r w:rsidR="00BB4CAF">
        <w:t>po</w:t>
      </w:r>
      <w:r w:rsidR="00A373F0" w:rsidRPr="00A373F0">
        <w:t>dle prostředí do 22. 8. 2023</w:t>
      </w:r>
      <w:r w:rsidR="00CE184D">
        <w:t>, nyní bez ohledu na prostředí je společný jeden limit, a proto uvedené rozdělení bylo odstraněno (v</w:t>
      </w:r>
      <w:r w:rsidR="00814DF1">
        <w:t> </w:t>
      </w:r>
      <w:r w:rsidR="00CE184D">
        <w:t xml:space="preserve">tabulce tak zůstává pouze </w:t>
      </w:r>
      <w:r w:rsidR="0099736A">
        <w:t>„oxid dusnatý“)</w:t>
      </w:r>
      <w:r w:rsidR="00CE184D">
        <w:t>.</w:t>
      </w:r>
    </w:p>
    <w:p w14:paraId="05C3AADF" w14:textId="77777777" w:rsidR="0099736A" w:rsidRDefault="0099736A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262630AE" w14:textId="63E40651" w:rsidR="0099736A" w:rsidRDefault="005A445F" w:rsidP="00A3671D">
      <w:pPr>
        <w:pStyle w:val="l4"/>
        <w:shd w:val="clear" w:color="auto" w:fill="FFFFFF"/>
        <w:spacing w:before="0" w:beforeAutospacing="0" w:after="0" w:afterAutospacing="0"/>
        <w:jc w:val="both"/>
      </w:pPr>
      <w:r w:rsidRPr="005A445F">
        <w:t xml:space="preserve">Ad oxidu </w:t>
      </w:r>
      <w:r w:rsidR="00DF28E0">
        <w:t>uhelnatému</w:t>
      </w:r>
      <w:r w:rsidRPr="005A445F">
        <w:t xml:space="preserve"> mimo hlubinnou těžbu a ražení tunelů; oxidu </w:t>
      </w:r>
      <w:r w:rsidR="00DF28E0">
        <w:t>uhelnatému</w:t>
      </w:r>
      <w:r w:rsidRPr="005A445F">
        <w:t xml:space="preserve"> při hlubinné těžbě a ražení tunelů: Oxid </w:t>
      </w:r>
      <w:r w:rsidR="00DF28E0">
        <w:t>uhelnatý</w:t>
      </w:r>
      <w:r w:rsidRPr="005A445F">
        <w:t xml:space="preserve"> měl rozdílné limity </w:t>
      </w:r>
      <w:r w:rsidR="00BB4CAF">
        <w:t>po</w:t>
      </w:r>
      <w:r w:rsidRPr="005A445F">
        <w:t>dle prostředí do 22. 8. 2023, nyní bez ohledu na prostředí je společný jeden limit, a proto uvedené rozdělení bylo odstraněno (v</w:t>
      </w:r>
      <w:r w:rsidR="00814DF1">
        <w:t> </w:t>
      </w:r>
      <w:r w:rsidRPr="005A445F">
        <w:t xml:space="preserve">tabulce tak zůstává pouze „oxid </w:t>
      </w:r>
      <w:r w:rsidR="00DF28E0">
        <w:t>uhelnatý</w:t>
      </w:r>
      <w:r w:rsidRPr="005A445F">
        <w:t>“).</w:t>
      </w:r>
    </w:p>
    <w:p w14:paraId="698CACAD" w14:textId="77777777" w:rsidR="005A445F" w:rsidRDefault="005A445F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4DD5A923" w14:textId="7C7B5D6D" w:rsidR="005A445F" w:rsidRDefault="002E5B4E" w:rsidP="00A3671D">
      <w:pPr>
        <w:pStyle w:val="l4"/>
        <w:shd w:val="clear" w:color="auto" w:fill="FFFFFF"/>
        <w:spacing w:before="0" w:beforeAutospacing="0" w:after="0" w:afterAutospacing="0"/>
        <w:jc w:val="both"/>
      </w:pPr>
      <w:r>
        <w:t xml:space="preserve">Ad </w:t>
      </w:r>
      <w:r w:rsidR="00B914F4" w:rsidRPr="00B914F4">
        <w:t>tellur</w:t>
      </w:r>
      <w:r w:rsidR="00B914F4">
        <w:t>u</w:t>
      </w:r>
      <w:r w:rsidR="00B914F4" w:rsidRPr="00B914F4">
        <w:t xml:space="preserve"> a jeho sloučeniny, jako Te</w:t>
      </w:r>
      <w:r w:rsidR="00B914F4">
        <w:t xml:space="preserve">: uvedené číslo CAS je pouze pro tellur, vzhledem k tomu, že </w:t>
      </w:r>
      <w:r w:rsidR="00F731C7">
        <w:t xml:space="preserve">jsou zde uvedeny i sloučeniny, bylo toto číslo vypuštěno bez náhrady. </w:t>
      </w:r>
    </w:p>
    <w:p w14:paraId="5616BA7C" w14:textId="77777777" w:rsidR="00DC6827" w:rsidRDefault="00DC6827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444BBF52" w14:textId="77777777" w:rsidR="00DC6827" w:rsidRDefault="00DC6827" w:rsidP="00A3671D">
      <w:pPr>
        <w:pStyle w:val="l4"/>
        <w:shd w:val="clear" w:color="auto" w:fill="FFFFFF"/>
        <w:spacing w:before="0" w:beforeAutospacing="0" w:after="0" w:afterAutospacing="0"/>
        <w:jc w:val="both"/>
      </w:pPr>
    </w:p>
    <w:p w14:paraId="735E9D56" w14:textId="2A409202" w:rsidR="005A0F11" w:rsidRDefault="00E950CB" w:rsidP="00905DFA">
      <w:pPr>
        <w:pStyle w:val="l4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696BD9">
        <w:rPr>
          <w:b/>
          <w:bCs/>
          <w:u w:val="single"/>
        </w:rPr>
        <w:t xml:space="preserve"> bodům 43 a 44</w:t>
      </w:r>
      <w:r>
        <w:rPr>
          <w:b/>
          <w:bCs/>
          <w:u w:val="single"/>
        </w:rPr>
        <w:t xml:space="preserve"> </w:t>
      </w:r>
      <w:r w:rsidR="00696BD9">
        <w:rPr>
          <w:b/>
          <w:bCs/>
          <w:u w:val="single"/>
        </w:rPr>
        <w:t>(</w:t>
      </w:r>
      <w:r w:rsidR="009034B2" w:rsidRPr="0062369E">
        <w:rPr>
          <w:b/>
          <w:bCs/>
          <w:u w:val="single"/>
        </w:rPr>
        <w:t xml:space="preserve">Příloha č. </w:t>
      </w:r>
      <w:r w:rsidR="008C7230">
        <w:rPr>
          <w:b/>
          <w:bCs/>
          <w:u w:val="single"/>
        </w:rPr>
        <w:t>7</w:t>
      </w:r>
      <w:r w:rsidR="009034B2" w:rsidRPr="0062369E">
        <w:rPr>
          <w:b/>
          <w:bCs/>
          <w:u w:val="single"/>
        </w:rPr>
        <w:t>, část A</w:t>
      </w:r>
      <w:r w:rsidR="008C7230">
        <w:rPr>
          <w:b/>
          <w:bCs/>
          <w:u w:val="single"/>
        </w:rPr>
        <w:t xml:space="preserve"> </w:t>
      </w:r>
      <w:proofErr w:type="spellStart"/>
      <w:r w:rsidR="00D74F92">
        <w:rPr>
          <w:b/>
          <w:bCs/>
          <w:u w:val="single"/>
        </w:rPr>
        <w:t>a</w:t>
      </w:r>
      <w:proofErr w:type="spellEnd"/>
      <w:r w:rsidR="00D74F92">
        <w:rPr>
          <w:b/>
          <w:bCs/>
          <w:u w:val="single"/>
        </w:rPr>
        <w:t xml:space="preserve"> </w:t>
      </w:r>
      <w:r w:rsidR="00D74F92" w:rsidRPr="0062369E">
        <w:rPr>
          <w:b/>
          <w:bCs/>
          <w:u w:val="single"/>
        </w:rPr>
        <w:t xml:space="preserve">část </w:t>
      </w:r>
      <w:r w:rsidR="00D74F92">
        <w:rPr>
          <w:b/>
          <w:bCs/>
          <w:u w:val="single"/>
        </w:rPr>
        <w:t>B</w:t>
      </w:r>
      <w:r w:rsidR="00696BD9">
        <w:rPr>
          <w:b/>
          <w:bCs/>
          <w:u w:val="single"/>
        </w:rPr>
        <w:t>)</w:t>
      </w:r>
    </w:p>
    <w:p w14:paraId="3EC57CA6" w14:textId="77777777" w:rsidR="00905DFA" w:rsidRPr="00905DFA" w:rsidRDefault="00905DFA" w:rsidP="00905DFA">
      <w:pPr>
        <w:pStyle w:val="l4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14:paraId="22D6129E" w14:textId="614AE5FB" w:rsidR="00CB33B1" w:rsidRDefault="005A0F11" w:rsidP="00CB33B1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Změnou došlo k</w:t>
      </w:r>
      <w:r w:rsidR="0024362D">
        <w:rPr>
          <w:rFonts w:ascii="Times New Roman" w:eastAsia="Arial" w:hAnsi="Times New Roman" w:cs="Times New Roman"/>
          <w:sz w:val="24"/>
          <w:szCs w:val="24"/>
        </w:rPr>
        <w:t xml:space="preserve"> úpravě </w:t>
      </w:r>
      <w:r w:rsidR="008304C7">
        <w:rPr>
          <w:rFonts w:ascii="Times New Roman" w:eastAsia="Arial" w:hAnsi="Times New Roman" w:cs="Times New Roman"/>
          <w:sz w:val="24"/>
          <w:szCs w:val="24"/>
        </w:rPr>
        <w:t xml:space="preserve">požadavků na vybraná pracoviště. </w:t>
      </w:r>
      <w:r w:rsidR="00A7163E" w:rsidRPr="007B0F23">
        <w:rPr>
          <w:rFonts w:ascii="Times New Roman" w:eastAsia="Arial" w:hAnsi="Times New Roman" w:cs="Times New Roman"/>
          <w:sz w:val="24"/>
          <w:szCs w:val="24"/>
        </w:rPr>
        <w:t xml:space="preserve">Důvodem byla povinnost členských států harmonizovat český právní předpis s právem Evropské unie, konkrétně pak </w:t>
      </w:r>
      <w:r w:rsidR="00CF3CED" w:rsidRPr="007B0F23">
        <w:rPr>
          <w:rFonts w:ascii="Times New Roman" w:eastAsia="Arial" w:hAnsi="Times New Roman" w:cs="Times New Roman"/>
          <w:sz w:val="24"/>
          <w:szCs w:val="24"/>
        </w:rPr>
        <w:t xml:space="preserve">transponovat </w:t>
      </w:r>
      <w:r w:rsidR="00CB33B1" w:rsidRPr="007B0F23">
        <w:rPr>
          <w:rFonts w:ascii="Times New Roman" w:hAnsi="Times New Roman"/>
          <w:sz w:val="24"/>
        </w:rPr>
        <w:t>směrnic</w:t>
      </w:r>
      <w:r w:rsidR="00CF3CED" w:rsidRPr="007B0F23">
        <w:rPr>
          <w:rFonts w:ascii="Times New Roman" w:hAnsi="Times New Roman"/>
          <w:sz w:val="24"/>
        </w:rPr>
        <w:t>i</w:t>
      </w:r>
      <w:r w:rsidR="00CB33B1" w:rsidRPr="007B0F23">
        <w:rPr>
          <w:rFonts w:ascii="Times New Roman" w:hAnsi="Times New Roman"/>
          <w:sz w:val="24"/>
        </w:rPr>
        <w:t xml:space="preserve"> Komise (EU) 2019/1833, kterou se mění přílohy I, III, V a VI směrnice Evropského parlamentu a Rady 2000/54/ES</w:t>
      </w:r>
      <w:r w:rsidR="00C5632D" w:rsidRPr="007B0F23">
        <w:rPr>
          <w:rFonts w:ascii="Times New Roman" w:hAnsi="Times New Roman"/>
          <w:sz w:val="24"/>
        </w:rPr>
        <w:t xml:space="preserve"> (dále jen „směrnici Komise (EU) 2019/1833“)</w:t>
      </w:r>
      <w:r w:rsidR="00CF3CED" w:rsidRPr="007B0F23">
        <w:rPr>
          <w:rFonts w:ascii="Times New Roman" w:hAnsi="Times New Roman"/>
          <w:sz w:val="24"/>
        </w:rPr>
        <w:t xml:space="preserve">. </w:t>
      </w:r>
      <w:r w:rsidR="00737843" w:rsidRPr="007B0F23">
        <w:rPr>
          <w:rFonts w:ascii="Times New Roman" w:eastAsia="Arial" w:hAnsi="Times New Roman" w:cs="Times New Roman"/>
          <w:sz w:val="24"/>
          <w:szCs w:val="24"/>
        </w:rPr>
        <w:t xml:space="preserve">Tato směrnice posiluje ochranu zdraví a bezpečnost zaměstnanců při </w:t>
      </w:r>
      <w:r w:rsidR="001E3A09" w:rsidRPr="007B0F23">
        <w:rPr>
          <w:rFonts w:ascii="Times New Roman" w:eastAsia="Arial" w:hAnsi="Times New Roman" w:cs="Times New Roman"/>
          <w:sz w:val="24"/>
          <w:szCs w:val="24"/>
        </w:rPr>
        <w:t xml:space="preserve">práci </w:t>
      </w:r>
      <w:r w:rsidR="003F15D2" w:rsidRPr="007B0F23">
        <w:rPr>
          <w:rFonts w:ascii="Times New Roman" w:eastAsia="Arial" w:hAnsi="Times New Roman" w:cs="Times New Roman"/>
          <w:sz w:val="24"/>
          <w:szCs w:val="24"/>
        </w:rPr>
        <w:t>s</w:t>
      </w:r>
      <w:r w:rsidR="00A37C38" w:rsidRPr="007B0F23">
        <w:rPr>
          <w:rFonts w:ascii="Times New Roman" w:eastAsia="Arial" w:hAnsi="Times New Roman" w:cs="Times New Roman"/>
          <w:sz w:val="24"/>
          <w:szCs w:val="24"/>
        </w:rPr>
        <w:t xml:space="preserve"> biologickými činiteli. </w:t>
      </w:r>
    </w:p>
    <w:p w14:paraId="36138B2C" w14:textId="6D1A870D" w:rsidR="008B7F42" w:rsidRPr="007B0F23" w:rsidRDefault="008B7F42" w:rsidP="00CB33B1">
      <w:pPr>
        <w:spacing w:line="240" w:lineRule="auto"/>
        <w:jc w:val="both"/>
        <w:rPr>
          <w:rFonts w:ascii="Times New Roman" w:hAnsi="Times New Roman"/>
          <w:sz w:val="24"/>
        </w:rPr>
      </w:pPr>
      <w:r w:rsidRPr="007B0F23">
        <w:rPr>
          <w:rFonts w:ascii="Times New Roman" w:hAnsi="Times New Roman"/>
          <w:sz w:val="24"/>
        </w:rPr>
        <w:t>Část A</w:t>
      </w:r>
      <w:r w:rsidR="002E7CDA" w:rsidRPr="007B0F23">
        <w:rPr>
          <w:rFonts w:ascii="Times New Roman" w:hAnsi="Times New Roman"/>
          <w:sz w:val="24"/>
        </w:rPr>
        <w:t xml:space="preserve">, </w:t>
      </w:r>
      <w:r w:rsidR="00957C5B">
        <w:rPr>
          <w:rFonts w:ascii="Times New Roman" w:hAnsi="Times New Roman"/>
          <w:sz w:val="24"/>
        </w:rPr>
        <w:t xml:space="preserve">Vysvětlivky k tabulce č. 1, 2, 3 a 4 </w:t>
      </w:r>
    </w:p>
    <w:p w14:paraId="5715B210" w14:textId="40C6E260" w:rsidR="008B7F42" w:rsidRDefault="00D317B6" w:rsidP="00CB33B1">
      <w:pPr>
        <w:spacing w:line="240" w:lineRule="auto"/>
        <w:jc w:val="both"/>
        <w:rPr>
          <w:rFonts w:ascii="Times New Roman" w:hAnsi="Times New Roman"/>
          <w:sz w:val="24"/>
        </w:rPr>
      </w:pPr>
      <w:r w:rsidRPr="007B0F23">
        <w:rPr>
          <w:rFonts w:ascii="Times New Roman" w:hAnsi="Times New Roman"/>
          <w:sz w:val="24"/>
        </w:rPr>
        <w:t>Vysvětlivk</w:t>
      </w:r>
      <w:r w:rsidR="00957C5B">
        <w:rPr>
          <w:rFonts w:ascii="Times New Roman" w:hAnsi="Times New Roman"/>
          <w:sz w:val="24"/>
        </w:rPr>
        <w:t xml:space="preserve">y </w:t>
      </w:r>
      <w:r w:rsidRPr="007B0F23">
        <w:rPr>
          <w:rFonts w:ascii="Times New Roman" w:hAnsi="Times New Roman"/>
          <w:sz w:val="24"/>
        </w:rPr>
        <w:t>uvád</w:t>
      </w:r>
      <w:r w:rsidR="00C67912" w:rsidRPr="007B0F23">
        <w:rPr>
          <w:rFonts w:ascii="Times New Roman" w:hAnsi="Times New Roman"/>
          <w:sz w:val="24"/>
        </w:rPr>
        <w:t>ěl</w:t>
      </w:r>
      <w:r w:rsidR="00957C5B">
        <w:rPr>
          <w:rFonts w:ascii="Times New Roman" w:hAnsi="Times New Roman"/>
          <w:sz w:val="24"/>
        </w:rPr>
        <w:t>y</w:t>
      </w:r>
      <w:r w:rsidRPr="007B0F23">
        <w:rPr>
          <w:rFonts w:ascii="Times New Roman" w:hAnsi="Times New Roman"/>
          <w:sz w:val="24"/>
        </w:rPr>
        <w:t>, že biologičtí činitelé skupiny 3 mohou pro zaměstnance představovat omezené riziko nákazy, neboť se za běžných podmínek nepřenášejí vzduchem, a proto požadavky na pracoviště postačují jako u práce s biologickým činitelem skupiny 2. Pokud jde o tyto činitele</w:t>
      </w:r>
      <w:r w:rsidR="007E0414" w:rsidRPr="007B0F23">
        <w:rPr>
          <w:rFonts w:ascii="Times New Roman" w:hAnsi="Times New Roman"/>
          <w:sz w:val="24"/>
        </w:rPr>
        <w:t>,</w:t>
      </w:r>
      <w:r w:rsidR="00C5632D" w:rsidRPr="007B0F23">
        <w:rPr>
          <w:rFonts w:ascii="Times New Roman" w:hAnsi="Times New Roman"/>
          <w:sz w:val="24"/>
        </w:rPr>
        <w:t xml:space="preserve"> směrnici Komise (EU) 2019/1833 uvádí</w:t>
      </w:r>
      <w:r w:rsidRPr="007B0F23">
        <w:rPr>
          <w:rFonts w:ascii="Times New Roman" w:hAnsi="Times New Roman"/>
          <w:sz w:val="24"/>
        </w:rPr>
        <w:t>, že na základě individuálního posouzení lze od některých z použitelných bezpečnostních opatření upustit ve zvláštních případech a</w:t>
      </w:r>
      <w:r w:rsidR="00957263">
        <w:rPr>
          <w:rFonts w:ascii="Times New Roman" w:hAnsi="Times New Roman"/>
          <w:sz w:val="24"/>
        </w:rPr>
        <w:t> </w:t>
      </w:r>
      <w:r w:rsidRPr="007B0F23">
        <w:rPr>
          <w:rFonts w:ascii="Times New Roman" w:hAnsi="Times New Roman"/>
          <w:sz w:val="24"/>
        </w:rPr>
        <w:t>s</w:t>
      </w:r>
      <w:r w:rsidR="00957263">
        <w:rPr>
          <w:rFonts w:ascii="Times New Roman" w:hAnsi="Times New Roman"/>
          <w:sz w:val="24"/>
        </w:rPr>
        <w:t> </w:t>
      </w:r>
      <w:r w:rsidRPr="007B0F23">
        <w:rPr>
          <w:rFonts w:ascii="Times New Roman" w:hAnsi="Times New Roman"/>
          <w:sz w:val="24"/>
        </w:rPr>
        <w:t>přihlédnutím k povaze daných specifických činností a k množství daného biologického činitele, zatímco vnitrostátní prováděcí opatření obecně a bez rozdílu snižují úroveň použitelných bezpečnostních opatření na úroveň opatření použitelných na činitele rizikové skupiny 2</w:t>
      </w:r>
      <w:r w:rsidR="00A11B94" w:rsidRPr="007B0F23">
        <w:rPr>
          <w:rFonts w:ascii="Times New Roman" w:hAnsi="Times New Roman"/>
          <w:sz w:val="24"/>
        </w:rPr>
        <w:t xml:space="preserve">. Z toho důvodu byla provedena úprava </w:t>
      </w:r>
      <w:r w:rsidR="007D21D5">
        <w:rPr>
          <w:rFonts w:ascii="Times New Roman" w:hAnsi="Times New Roman"/>
          <w:sz w:val="24"/>
        </w:rPr>
        <w:t>po</w:t>
      </w:r>
      <w:r w:rsidR="00A11B94" w:rsidRPr="007B0F23">
        <w:rPr>
          <w:rFonts w:ascii="Times New Roman" w:hAnsi="Times New Roman"/>
          <w:sz w:val="24"/>
        </w:rPr>
        <w:t xml:space="preserve">dle uvedené </w:t>
      </w:r>
      <w:r w:rsidR="00C73CFC" w:rsidRPr="007B0F23">
        <w:rPr>
          <w:rFonts w:ascii="Times New Roman" w:hAnsi="Times New Roman"/>
          <w:sz w:val="24"/>
        </w:rPr>
        <w:t>směrnice.</w:t>
      </w:r>
    </w:p>
    <w:p w14:paraId="4A15F462" w14:textId="77777777" w:rsidR="008B7F42" w:rsidRDefault="008B7F42" w:rsidP="00CB33B1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4BB91E7" w14:textId="2E9D5CF3" w:rsidR="008B7F42" w:rsidRDefault="008B7F42" w:rsidP="00CB33B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Část B</w:t>
      </w:r>
    </w:p>
    <w:p w14:paraId="1FCC04C2" w14:textId="54C8024D" w:rsidR="00D07D2C" w:rsidRPr="00D07D2C" w:rsidRDefault="00DF4B54" w:rsidP="00D07D2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Vzhledem k</w:t>
      </w:r>
      <w:r w:rsidR="00914DD2">
        <w:rPr>
          <w:rFonts w:ascii="Times New Roman" w:hAnsi="Times New Roman"/>
          <w:sz w:val="24"/>
        </w:rPr>
        <w:t xml:space="preserve"> rozsáhlosti úpravy byla tabulka </w:t>
      </w:r>
      <w:r w:rsidR="00095F8E">
        <w:rPr>
          <w:rFonts w:ascii="Times New Roman" w:hAnsi="Times New Roman"/>
          <w:sz w:val="24"/>
        </w:rPr>
        <w:t>č. 1 a 2 odstraněna a nahrazena tabulkami novými, které</w:t>
      </w:r>
      <w:r w:rsidR="008B7F42">
        <w:rPr>
          <w:rFonts w:ascii="Times New Roman" w:hAnsi="Times New Roman"/>
          <w:sz w:val="24"/>
        </w:rPr>
        <w:t xml:space="preserve"> jsou </w:t>
      </w:r>
      <w:r w:rsidR="000D56DF">
        <w:rPr>
          <w:rFonts w:ascii="Times New Roman" w:hAnsi="Times New Roman"/>
          <w:sz w:val="24"/>
        </w:rPr>
        <w:t>převzaty</w:t>
      </w:r>
      <w:r w:rsidR="008F5686">
        <w:rPr>
          <w:rFonts w:ascii="Times New Roman" w:hAnsi="Times New Roman"/>
          <w:sz w:val="24"/>
        </w:rPr>
        <w:t xml:space="preserve"> z </w:t>
      </w:r>
      <w:r w:rsidR="008B7F42">
        <w:rPr>
          <w:rFonts w:ascii="Times New Roman" w:hAnsi="Times New Roman"/>
          <w:sz w:val="24"/>
        </w:rPr>
        <w:t xml:space="preserve">výše uvedené </w:t>
      </w:r>
      <w:r>
        <w:rPr>
          <w:rFonts w:ascii="Times New Roman" w:hAnsi="Times New Roman"/>
          <w:sz w:val="24"/>
        </w:rPr>
        <w:t xml:space="preserve">směrnice </w:t>
      </w:r>
      <w:r w:rsidR="008B7F42">
        <w:rPr>
          <w:rFonts w:ascii="Times New Roman" w:hAnsi="Times New Roman"/>
          <w:sz w:val="24"/>
        </w:rPr>
        <w:t>EU</w:t>
      </w:r>
      <w:r w:rsidR="007B0929">
        <w:rPr>
          <w:rFonts w:ascii="Times New Roman" w:hAnsi="Times New Roman"/>
          <w:sz w:val="24"/>
        </w:rPr>
        <w:t xml:space="preserve">. </w:t>
      </w:r>
    </w:p>
    <w:p w14:paraId="38381990" w14:textId="4FAAA9D8" w:rsidR="00914DD2" w:rsidRDefault="003D3B7F" w:rsidP="00332FB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Pokud z tabulky č. 1 a 2 vyplývá, že požadavky v ní uvedené je nutno zavést na</w:t>
      </w:r>
      <w:r w:rsidR="001672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pracoviště na základě hodnocení rizik uvedených v ustanovení § 37, je po</w:t>
      </w:r>
      <w:r w:rsidR="00167297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innost </w:t>
      </w:r>
      <w:r w:rsidR="00167297">
        <w:rPr>
          <w:rFonts w:ascii="Times New Roman" w:hAnsi="Times New Roman"/>
          <w:sz w:val="24"/>
        </w:rPr>
        <w:t xml:space="preserve">tyto </w:t>
      </w:r>
      <w:r>
        <w:rPr>
          <w:rFonts w:ascii="Times New Roman" w:hAnsi="Times New Roman"/>
          <w:sz w:val="24"/>
        </w:rPr>
        <w:t xml:space="preserve">požadavky </w:t>
      </w:r>
      <w:r w:rsidR="00167297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 xml:space="preserve">pracoviště aplikovat. </w:t>
      </w:r>
      <w:r w:rsidR="00332FBB" w:rsidRPr="00332FBB">
        <w:rPr>
          <w:rFonts w:ascii="Times New Roman" w:hAnsi="Times New Roman"/>
          <w:sz w:val="24"/>
        </w:rPr>
        <w:t>V případě, že činnosti zahrnují expozici biologickým činitelů</w:t>
      </w:r>
      <w:r w:rsidR="00E21A8A">
        <w:rPr>
          <w:rFonts w:ascii="Times New Roman" w:hAnsi="Times New Roman"/>
          <w:sz w:val="24"/>
        </w:rPr>
        <w:t>m</w:t>
      </w:r>
      <w:r w:rsidR="00332FBB" w:rsidRPr="00332FBB">
        <w:rPr>
          <w:rFonts w:ascii="Times New Roman" w:hAnsi="Times New Roman"/>
          <w:sz w:val="24"/>
        </w:rPr>
        <w:t xml:space="preserve"> z několika skupin, musí být hodnoceno riziko na základě nebezpečí, které představují všechny přítomné nebezpečné biologické činitele.</w:t>
      </w:r>
      <w:r w:rsidR="001B1F21">
        <w:rPr>
          <w:rFonts w:ascii="Times New Roman" w:hAnsi="Times New Roman"/>
          <w:sz w:val="24"/>
        </w:rPr>
        <w:t xml:space="preserve"> </w:t>
      </w:r>
      <w:r w:rsidR="00332FBB" w:rsidRPr="00332FBB">
        <w:rPr>
          <w:rFonts w:ascii="Times New Roman" w:hAnsi="Times New Roman"/>
          <w:sz w:val="24"/>
        </w:rPr>
        <w:t>Toto hodnocení musí být opakováno pravidelně a vždy při změně podmínek, jež mohou ovlivnit změnu expozice zaměstnanců biologickým činitelům.</w:t>
      </w:r>
    </w:p>
    <w:p w14:paraId="656EA50D" w14:textId="4E1DA23C" w:rsidR="000F6526" w:rsidRDefault="000F6526" w:rsidP="00F22F9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Požadavky</w:t>
      </w:r>
      <w:r w:rsidRPr="00D07D2C">
        <w:rPr>
          <w:rFonts w:ascii="Times New Roman" w:hAnsi="Times New Roman"/>
          <w:sz w:val="24"/>
        </w:rPr>
        <w:t xml:space="preserve"> obsažen</w:t>
      </w:r>
      <w:r>
        <w:rPr>
          <w:rFonts w:ascii="Times New Roman" w:hAnsi="Times New Roman"/>
          <w:sz w:val="24"/>
        </w:rPr>
        <w:t>é</w:t>
      </w:r>
      <w:r w:rsidRPr="00D07D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tabulce č. 1 </w:t>
      </w:r>
      <w:r w:rsidRPr="00D07D2C">
        <w:rPr>
          <w:rFonts w:ascii="Times New Roman" w:hAnsi="Times New Roman"/>
          <w:sz w:val="24"/>
        </w:rPr>
        <w:t>musí být uplatňován</w:t>
      </w:r>
      <w:r>
        <w:rPr>
          <w:rFonts w:ascii="Times New Roman" w:hAnsi="Times New Roman"/>
          <w:sz w:val="24"/>
        </w:rPr>
        <w:t>y</w:t>
      </w:r>
      <w:r w:rsidRPr="00D07D2C">
        <w:rPr>
          <w:rFonts w:ascii="Times New Roman" w:hAnsi="Times New Roman"/>
          <w:sz w:val="24"/>
        </w:rPr>
        <w:t xml:space="preserve"> podle povahy činností, hodnocení rizik pro zaměstnance a povahy dotyčného biologického činitele</w:t>
      </w:r>
      <w:r>
        <w:rPr>
          <w:rFonts w:ascii="Times New Roman" w:hAnsi="Times New Roman"/>
          <w:sz w:val="24"/>
        </w:rPr>
        <w:t>, jak vyplývá ze směrnice Evropského Parlamentu a Rady</w:t>
      </w:r>
      <w:r w:rsidRPr="004E08B1">
        <w:rPr>
          <w:rFonts w:ascii="Times New Roman" w:hAnsi="Times New Roman"/>
          <w:sz w:val="24"/>
        </w:rPr>
        <w:t xml:space="preserve"> 2000/54/ES, o ochraně zaměstnanců před riziky spojenými s</w:t>
      </w:r>
      <w:r w:rsidR="00437D6E">
        <w:rPr>
          <w:rFonts w:ascii="Times New Roman" w:hAnsi="Times New Roman"/>
          <w:sz w:val="24"/>
        </w:rPr>
        <w:t> </w:t>
      </w:r>
      <w:r w:rsidRPr="004E08B1">
        <w:rPr>
          <w:rFonts w:ascii="Times New Roman" w:hAnsi="Times New Roman"/>
          <w:sz w:val="24"/>
        </w:rPr>
        <w:t>expozicí biologickým činitelům při práci</w:t>
      </w:r>
      <w:r>
        <w:rPr>
          <w:rFonts w:ascii="Times New Roman" w:hAnsi="Times New Roman"/>
          <w:sz w:val="24"/>
        </w:rPr>
        <w:t xml:space="preserve"> (viz úvodní poznámka přílohy V a VI</w:t>
      </w:r>
      <w:r w:rsidR="00B43373">
        <w:rPr>
          <w:rFonts w:ascii="Times New Roman" w:hAnsi="Times New Roman"/>
          <w:sz w:val="24"/>
        </w:rPr>
        <w:t xml:space="preserve"> uvedené směrnice</w:t>
      </w:r>
      <w:r>
        <w:rPr>
          <w:rFonts w:ascii="Times New Roman" w:hAnsi="Times New Roman"/>
          <w:sz w:val="24"/>
        </w:rPr>
        <w:t>).</w:t>
      </w:r>
    </w:p>
    <w:p w14:paraId="0493D5B6" w14:textId="77777777" w:rsidR="004845F1" w:rsidRDefault="004845F1" w:rsidP="00F22F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CBB8C3" w14:textId="62A67D0B" w:rsidR="003426C4" w:rsidRPr="00F22F9E" w:rsidRDefault="00A1487A" w:rsidP="00F22F9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22F9E">
        <w:rPr>
          <w:rFonts w:ascii="Times New Roman" w:hAnsi="Times New Roman"/>
          <w:sz w:val="24"/>
        </w:rPr>
        <w:t xml:space="preserve">Při práci s biologickými činiteli skupiny 1, včetně oslabených živých očkovacích látek, musí být dodržovány zásady bezpečnosti při práci a pracovní hygieny. </w:t>
      </w:r>
      <w:r w:rsidR="00866C1F" w:rsidRPr="00F22F9E">
        <w:rPr>
          <w:rFonts w:ascii="Times New Roman" w:hAnsi="Times New Roman"/>
          <w:sz w:val="24"/>
        </w:rPr>
        <w:t>Pro b</w:t>
      </w:r>
      <w:r w:rsidRPr="00F22F9E">
        <w:rPr>
          <w:rFonts w:ascii="Times New Roman" w:hAnsi="Times New Roman"/>
          <w:sz w:val="24"/>
        </w:rPr>
        <w:t>iologické činitele skupiny 2, 3 a 4</w:t>
      </w:r>
      <w:r w:rsidR="00866C1F" w:rsidRPr="00F22F9E">
        <w:rPr>
          <w:rFonts w:ascii="Times New Roman" w:hAnsi="Times New Roman"/>
          <w:sz w:val="24"/>
        </w:rPr>
        <w:t xml:space="preserve"> m</w:t>
      </w:r>
      <w:r w:rsidRPr="00F22F9E">
        <w:rPr>
          <w:rFonts w:ascii="Times New Roman" w:hAnsi="Times New Roman"/>
          <w:sz w:val="24"/>
        </w:rPr>
        <w:t xml:space="preserve">ůže být účelné vybírat a kombinovat bezpečnostní požadavky pro různé kategorie uvedené </w:t>
      </w:r>
      <w:r w:rsidR="008A6A76" w:rsidRPr="00F22F9E">
        <w:rPr>
          <w:rFonts w:ascii="Times New Roman" w:hAnsi="Times New Roman"/>
          <w:sz w:val="24"/>
        </w:rPr>
        <w:t xml:space="preserve">v tabulce č. 2 </w:t>
      </w:r>
      <w:r w:rsidRPr="00F22F9E">
        <w:rPr>
          <w:rFonts w:ascii="Times New Roman" w:hAnsi="Times New Roman"/>
          <w:sz w:val="24"/>
        </w:rPr>
        <w:t xml:space="preserve">na základě hodnocení rizik týkajícího se každého procesu nebo části procesu. </w:t>
      </w:r>
    </w:p>
    <w:p w14:paraId="70A006DB" w14:textId="77777777" w:rsidR="00F22F9E" w:rsidRDefault="00F22F9E" w:rsidP="00801207">
      <w:pPr>
        <w:widowControl w:val="0"/>
        <w:suppressAutoHyphens/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0F64CD" w14:textId="77777777" w:rsidR="00F84E95" w:rsidRDefault="00F84E95" w:rsidP="00F84E95">
      <w:pPr>
        <w:widowControl w:val="0"/>
        <w:suppressAutoHyphens/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 </w:t>
      </w:r>
      <w:r w:rsidRPr="009F423E">
        <w:rPr>
          <w:rFonts w:ascii="Times New Roman" w:eastAsia="Calibri" w:hAnsi="Times New Roman" w:cs="Times New Roman"/>
          <w:b/>
          <w:bCs/>
          <w:sz w:val="24"/>
          <w:szCs w:val="24"/>
        </w:rPr>
        <w:t>Čl. II</w:t>
      </w:r>
    </w:p>
    <w:p w14:paraId="069AD84E" w14:textId="77777777" w:rsidR="00F84E95" w:rsidRPr="009810CD" w:rsidRDefault="00F84E95" w:rsidP="00F84E95">
      <w:pPr>
        <w:widowControl w:val="0"/>
        <w:suppressAutoHyphens/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810C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Účinnost</w:t>
      </w:r>
    </w:p>
    <w:p w14:paraId="7D68D4EA" w14:textId="61FAD6BD" w:rsidR="00F84E95" w:rsidRDefault="00F84E95" w:rsidP="00F84E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23E">
        <w:rPr>
          <w:rFonts w:ascii="Times New Roman" w:eastAsia="Calibri" w:hAnsi="Times New Roman" w:cs="Times New Roman"/>
          <w:sz w:val="24"/>
          <w:szCs w:val="24"/>
        </w:rPr>
        <w:t>Navrhované nařízení vlády by mělo nabýt účinnosti dnem</w:t>
      </w:r>
      <w:r w:rsidR="00C56B7A">
        <w:rPr>
          <w:rFonts w:ascii="Times New Roman" w:eastAsia="Calibri" w:hAnsi="Times New Roman" w:cs="Times New Roman"/>
          <w:sz w:val="24"/>
          <w:szCs w:val="24"/>
        </w:rPr>
        <w:t xml:space="preserve"> následujícím po dni</w:t>
      </w:r>
      <w:r w:rsidRPr="009F42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vyhlášení, a to s ohledem na </w:t>
      </w:r>
      <w:r>
        <w:rPr>
          <w:rFonts w:ascii="Times New Roman" w:hAnsi="Times New Roman" w:cs="Times New Roman"/>
          <w:sz w:val="24"/>
          <w:szCs w:val="24"/>
        </w:rPr>
        <w:t>vyjádření</w:t>
      </w:r>
      <w:r w:rsidRPr="006D2522">
        <w:rPr>
          <w:rFonts w:ascii="Times New Roman" w:hAnsi="Times New Roman" w:cs="Times New Roman"/>
          <w:sz w:val="24"/>
          <w:szCs w:val="24"/>
        </w:rPr>
        <w:t xml:space="preserve"> Evropské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22">
        <w:rPr>
          <w:rFonts w:ascii="Times New Roman" w:hAnsi="Times New Roman" w:cs="Times New Roman"/>
          <w:sz w:val="24"/>
          <w:szCs w:val="24"/>
        </w:rPr>
        <w:t>ve věci EU-Pilot EUP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22">
        <w:rPr>
          <w:rFonts w:ascii="Times New Roman" w:hAnsi="Times New Roman" w:cs="Times New Roman"/>
          <w:sz w:val="24"/>
          <w:szCs w:val="24"/>
        </w:rPr>
        <w:t xml:space="preserve">(2023)10621, týkající se technických úprav souvisejících s implementací směrnice Komise (EU) 2019/1833, kterou se mění přílohy I, III, V a VI směrnice Evropského parlamentu a Rady 2000/54/ES,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6D2522">
        <w:rPr>
          <w:rFonts w:ascii="Times New Roman" w:hAnsi="Times New Roman" w:cs="Times New Roman"/>
          <w:sz w:val="24"/>
          <w:szCs w:val="24"/>
        </w:rPr>
        <w:t>dle jehož výsledků je nutno provést úpravu v předmětném nařízení vlády v co nejkratší době, a to v oblasti biologických činitelů a zajištění ochrany zdraví při práci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2522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D1822" w14:textId="77777777" w:rsidR="00F84E95" w:rsidRDefault="00F84E95" w:rsidP="00F84E95">
      <w:pPr>
        <w:pStyle w:val="l4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14:paraId="797F1862" w14:textId="28459BBD" w:rsidR="00200A7D" w:rsidRPr="00200A7D" w:rsidRDefault="00200A7D" w:rsidP="00200A7D">
      <w:pPr>
        <w:widowControl w:val="0"/>
        <w:suppressAutoHyphens/>
        <w:spacing w:after="0" w:line="30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96C432" w14:textId="77777777" w:rsidR="00801207" w:rsidRPr="00D74F92" w:rsidRDefault="00801207" w:rsidP="00D74F92">
      <w:pPr>
        <w:spacing w:line="240" w:lineRule="auto"/>
        <w:jc w:val="both"/>
        <w:rPr>
          <w:rFonts w:ascii="Times New Roman" w:hAnsi="Times New Roman"/>
          <w:color w:val="FF0000"/>
          <w:sz w:val="24"/>
        </w:rPr>
      </w:pPr>
    </w:p>
    <w:sectPr w:rsidR="00801207" w:rsidRPr="00D74F9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35A9" w14:textId="77777777" w:rsidR="00C83176" w:rsidRDefault="00C83176" w:rsidP="00B2602B">
      <w:pPr>
        <w:spacing w:after="0" w:line="240" w:lineRule="auto"/>
      </w:pPr>
      <w:r>
        <w:separator/>
      </w:r>
    </w:p>
  </w:endnote>
  <w:endnote w:type="continuationSeparator" w:id="0">
    <w:p w14:paraId="45C028D9" w14:textId="77777777" w:rsidR="00C83176" w:rsidRDefault="00C83176" w:rsidP="00B2602B">
      <w:pPr>
        <w:spacing w:after="0" w:line="240" w:lineRule="auto"/>
      </w:pPr>
      <w:r>
        <w:continuationSeparator/>
      </w:r>
    </w:p>
  </w:endnote>
  <w:endnote w:type="continuationNotice" w:id="1">
    <w:p w14:paraId="2FBB0922" w14:textId="77777777" w:rsidR="00C83176" w:rsidRDefault="00C83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330604"/>
      <w:docPartObj>
        <w:docPartGallery w:val="Page Numbers (Bottom of Page)"/>
        <w:docPartUnique/>
      </w:docPartObj>
    </w:sdtPr>
    <w:sdtEndPr/>
    <w:sdtContent>
      <w:p w14:paraId="1CEFF67D" w14:textId="6E361B48" w:rsidR="00F10214" w:rsidRDefault="00F102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0C8E3" w14:textId="77777777" w:rsidR="00F10214" w:rsidRDefault="00F102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E6C1" w14:textId="77777777" w:rsidR="00C83176" w:rsidRDefault="00C83176" w:rsidP="00B2602B">
      <w:pPr>
        <w:spacing w:after="0" w:line="240" w:lineRule="auto"/>
      </w:pPr>
      <w:r>
        <w:separator/>
      </w:r>
    </w:p>
  </w:footnote>
  <w:footnote w:type="continuationSeparator" w:id="0">
    <w:p w14:paraId="0F566E4E" w14:textId="77777777" w:rsidR="00C83176" w:rsidRDefault="00C83176" w:rsidP="00B2602B">
      <w:pPr>
        <w:spacing w:after="0" w:line="240" w:lineRule="auto"/>
      </w:pPr>
      <w:r>
        <w:continuationSeparator/>
      </w:r>
    </w:p>
  </w:footnote>
  <w:footnote w:type="continuationNotice" w:id="1">
    <w:p w14:paraId="7C22E55F" w14:textId="77777777" w:rsidR="00C83176" w:rsidRDefault="00C831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D2A"/>
    <w:multiLevelType w:val="hybridMultilevel"/>
    <w:tmpl w:val="020AB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65E"/>
    <w:multiLevelType w:val="hybridMultilevel"/>
    <w:tmpl w:val="D8C20404"/>
    <w:lvl w:ilvl="0" w:tplc="4D3AF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71E9"/>
    <w:multiLevelType w:val="hybridMultilevel"/>
    <w:tmpl w:val="533461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4583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26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4E4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64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AC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C1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69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4F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913D6"/>
    <w:multiLevelType w:val="hybridMultilevel"/>
    <w:tmpl w:val="24985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B0B07"/>
    <w:multiLevelType w:val="hybridMultilevel"/>
    <w:tmpl w:val="06DEA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B3263"/>
    <w:multiLevelType w:val="hybridMultilevel"/>
    <w:tmpl w:val="5B6E2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E281A48"/>
    <w:multiLevelType w:val="hybridMultilevel"/>
    <w:tmpl w:val="FD184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85316">
    <w:abstractNumId w:val="2"/>
  </w:num>
  <w:num w:numId="2" w16cid:durableId="1172841759">
    <w:abstractNumId w:val="1"/>
  </w:num>
  <w:num w:numId="3" w16cid:durableId="1657033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414295">
    <w:abstractNumId w:val="7"/>
  </w:num>
  <w:num w:numId="5" w16cid:durableId="941957105">
    <w:abstractNumId w:val="5"/>
  </w:num>
  <w:num w:numId="6" w16cid:durableId="377322981">
    <w:abstractNumId w:val="3"/>
  </w:num>
  <w:num w:numId="7" w16cid:durableId="1070494704">
    <w:abstractNumId w:val="4"/>
  </w:num>
  <w:num w:numId="8" w16cid:durableId="120798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94"/>
    <w:rsid w:val="00000551"/>
    <w:rsid w:val="0000398D"/>
    <w:rsid w:val="00005131"/>
    <w:rsid w:val="0000737F"/>
    <w:rsid w:val="00007F80"/>
    <w:rsid w:val="000112DC"/>
    <w:rsid w:val="0001246D"/>
    <w:rsid w:val="000128E6"/>
    <w:rsid w:val="000163C8"/>
    <w:rsid w:val="000175F3"/>
    <w:rsid w:val="00017B05"/>
    <w:rsid w:val="00017B2D"/>
    <w:rsid w:val="00017D04"/>
    <w:rsid w:val="000218AD"/>
    <w:rsid w:val="00023D55"/>
    <w:rsid w:val="00025A11"/>
    <w:rsid w:val="00026671"/>
    <w:rsid w:val="000308C2"/>
    <w:rsid w:val="00031D72"/>
    <w:rsid w:val="000327B1"/>
    <w:rsid w:val="00033AD6"/>
    <w:rsid w:val="00033B47"/>
    <w:rsid w:val="00034214"/>
    <w:rsid w:val="000350D1"/>
    <w:rsid w:val="00040599"/>
    <w:rsid w:val="00040AA3"/>
    <w:rsid w:val="00041BD2"/>
    <w:rsid w:val="000432FF"/>
    <w:rsid w:val="00050F25"/>
    <w:rsid w:val="00051E05"/>
    <w:rsid w:val="00052991"/>
    <w:rsid w:val="00053944"/>
    <w:rsid w:val="00053A63"/>
    <w:rsid w:val="00055143"/>
    <w:rsid w:val="0005577D"/>
    <w:rsid w:val="00055E88"/>
    <w:rsid w:val="00056456"/>
    <w:rsid w:val="000571B6"/>
    <w:rsid w:val="00060781"/>
    <w:rsid w:val="00060EBA"/>
    <w:rsid w:val="00061D29"/>
    <w:rsid w:val="0006280D"/>
    <w:rsid w:val="00062C7B"/>
    <w:rsid w:val="00062F92"/>
    <w:rsid w:val="00064300"/>
    <w:rsid w:val="000709DA"/>
    <w:rsid w:val="00071124"/>
    <w:rsid w:val="000721F1"/>
    <w:rsid w:val="0007563A"/>
    <w:rsid w:val="00077B80"/>
    <w:rsid w:val="000808B5"/>
    <w:rsid w:val="000810A1"/>
    <w:rsid w:val="000812B1"/>
    <w:rsid w:val="00082454"/>
    <w:rsid w:val="000908D6"/>
    <w:rsid w:val="00090FE8"/>
    <w:rsid w:val="00093456"/>
    <w:rsid w:val="0009558E"/>
    <w:rsid w:val="00095F8E"/>
    <w:rsid w:val="0009656A"/>
    <w:rsid w:val="000969C6"/>
    <w:rsid w:val="000A097D"/>
    <w:rsid w:val="000A3DAB"/>
    <w:rsid w:val="000A4B8F"/>
    <w:rsid w:val="000A50CE"/>
    <w:rsid w:val="000A5100"/>
    <w:rsid w:val="000A5502"/>
    <w:rsid w:val="000A5E57"/>
    <w:rsid w:val="000A7193"/>
    <w:rsid w:val="000B489B"/>
    <w:rsid w:val="000C0685"/>
    <w:rsid w:val="000C1AAB"/>
    <w:rsid w:val="000C2705"/>
    <w:rsid w:val="000C561F"/>
    <w:rsid w:val="000C5DCC"/>
    <w:rsid w:val="000C6970"/>
    <w:rsid w:val="000C7263"/>
    <w:rsid w:val="000C73A0"/>
    <w:rsid w:val="000D2F69"/>
    <w:rsid w:val="000D3EFA"/>
    <w:rsid w:val="000D4BD9"/>
    <w:rsid w:val="000D56DF"/>
    <w:rsid w:val="000D7E9B"/>
    <w:rsid w:val="000E05F3"/>
    <w:rsid w:val="000E0794"/>
    <w:rsid w:val="000E0E1C"/>
    <w:rsid w:val="000E56CF"/>
    <w:rsid w:val="000E606F"/>
    <w:rsid w:val="000F1841"/>
    <w:rsid w:val="000F2D38"/>
    <w:rsid w:val="000F2E49"/>
    <w:rsid w:val="000F30DE"/>
    <w:rsid w:val="000F31E1"/>
    <w:rsid w:val="000F3477"/>
    <w:rsid w:val="000F4289"/>
    <w:rsid w:val="000F4EC0"/>
    <w:rsid w:val="000F6526"/>
    <w:rsid w:val="001002C8"/>
    <w:rsid w:val="001011D2"/>
    <w:rsid w:val="00102B56"/>
    <w:rsid w:val="00102E72"/>
    <w:rsid w:val="00107035"/>
    <w:rsid w:val="00107E9E"/>
    <w:rsid w:val="00107F5A"/>
    <w:rsid w:val="00110650"/>
    <w:rsid w:val="0011369A"/>
    <w:rsid w:val="00113AD1"/>
    <w:rsid w:val="00114226"/>
    <w:rsid w:val="00116E4A"/>
    <w:rsid w:val="001174F0"/>
    <w:rsid w:val="00117789"/>
    <w:rsid w:val="001201DE"/>
    <w:rsid w:val="00122F7A"/>
    <w:rsid w:val="0012393B"/>
    <w:rsid w:val="0012497A"/>
    <w:rsid w:val="00125302"/>
    <w:rsid w:val="00127C90"/>
    <w:rsid w:val="001309CD"/>
    <w:rsid w:val="0013112D"/>
    <w:rsid w:val="00132496"/>
    <w:rsid w:val="001334EE"/>
    <w:rsid w:val="00136804"/>
    <w:rsid w:val="00136925"/>
    <w:rsid w:val="00136FAE"/>
    <w:rsid w:val="001414A8"/>
    <w:rsid w:val="0014279F"/>
    <w:rsid w:val="001427AB"/>
    <w:rsid w:val="0014295E"/>
    <w:rsid w:val="00143750"/>
    <w:rsid w:val="00145107"/>
    <w:rsid w:val="00147F77"/>
    <w:rsid w:val="0015121A"/>
    <w:rsid w:val="001527EB"/>
    <w:rsid w:val="0015493A"/>
    <w:rsid w:val="00154CFF"/>
    <w:rsid w:val="00155500"/>
    <w:rsid w:val="00155DB7"/>
    <w:rsid w:val="00155F6B"/>
    <w:rsid w:val="001575A0"/>
    <w:rsid w:val="00161647"/>
    <w:rsid w:val="00163EDF"/>
    <w:rsid w:val="001668B6"/>
    <w:rsid w:val="00167297"/>
    <w:rsid w:val="001675C7"/>
    <w:rsid w:val="00167C77"/>
    <w:rsid w:val="00170C37"/>
    <w:rsid w:val="00171726"/>
    <w:rsid w:val="00173CFE"/>
    <w:rsid w:val="00176DA6"/>
    <w:rsid w:val="00181CD0"/>
    <w:rsid w:val="001839D8"/>
    <w:rsid w:val="00184993"/>
    <w:rsid w:val="00184DFD"/>
    <w:rsid w:val="00187867"/>
    <w:rsid w:val="00187D21"/>
    <w:rsid w:val="00187D4B"/>
    <w:rsid w:val="001956D6"/>
    <w:rsid w:val="001A1338"/>
    <w:rsid w:val="001A2865"/>
    <w:rsid w:val="001A2D9F"/>
    <w:rsid w:val="001A3C5D"/>
    <w:rsid w:val="001A627E"/>
    <w:rsid w:val="001A71D9"/>
    <w:rsid w:val="001B1771"/>
    <w:rsid w:val="001B1F21"/>
    <w:rsid w:val="001B2C93"/>
    <w:rsid w:val="001B347C"/>
    <w:rsid w:val="001B4D2E"/>
    <w:rsid w:val="001B4D55"/>
    <w:rsid w:val="001B7866"/>
    <w:rsid w:val="001B7911"/>
    <w:rsid w:val="001C186B"/>
    <w:rsid w:val="001C22D2"/>
    <w:rsid w:val="001C326E"/>
    <w:rsid w:val="001C3629"/>
    <w:rsid w:val="001C39AB"/>
    <w:rsid w:val="001C3C0D"/>
    <w:rsid w:val="001C69EB"/>
    <w:rsid w:val="001C6C1C"/>
    <w:rsid w:val="001D0A5C"/>
    <w:rsid w:val="001D13AF"/>
    <w:rsid w:val="001D13FF"/>
    <w:rsid w:val="001D2324"/>
    <w:rsid w:val="001D2AD9"/>
    <w:rsid w:val="001D34CA"/>
    <w:rsid w:val="001D5123"/>
    <w:rsid w:val="001D5C4E"/>
    <w:rsid w:val="001D67B9"/>
    <w:rsid w:val="001D6B13"/>
    <w:rsid w:val="001E1F86"/>
    <w:rsid w:val="001E208F"/>
    <w:rsid w:val="001E3A09"/>
    <w:rsid w:val="001E5482"/>
    <w:rsid w:val="001E5707"/>
    <w:rsid w:val="001F0356"/>
    <w:rsid w:val="001F0829"/>
    <w:rsid w:val="001F1E38"/>
    <w:rsid w:val="001F24E9"/>
    <w:rsid w:val="002000A4"/>
    <w:rsid w:val="002003A3"/>
    <w:rsid w:val="00200A7D"/>
    <w:rsid w:val="00202C97"/>
    <w:rsid w:val="00203765"/>
    <w:rsid w:val="00203D0F"/>
    <w:rsid w:val="00207765"/>
    <w:rsid w:val="0021071C"/>
    <w:rsid w:val="00210F2E"/>
    <w:rsid w:val="00212E05"/>
    <w:rsid w:val="00213799"/>
    <w:rsid w:val="00214745"/>
    <w:rsid w:val="00214CE7"/>
    <w:rsid w:val="00214D9B"/>
    <w:rsid w:val="002153B5"/>
    <w:rsid w:val="00216230"/>
    <w:rsid w:val="00220C49"/>
    <w:rsid w:val="002221E2"/>
    <w:rsid w:val="002235FD"/>
    <w:rsid w:val="00224280"/>
    <w:rsid w:val="00224BF2"/>
    <w:rsid w:val="002254B4"/>
    <w:rsid w:val="0022593A"/>
    <w:rsid w:val="0023208E"/>
    <w:rsid w:val="00241069"/>
    <w:rsid w:val="00242712"/>
    <w:rsid w:val="00242F9F"/>
    <w:rsid w:val="0024362D"/>
    <w:rsid w:val="00244477"/>
    <w:rsid w:val="00244D15"/>
    <w:rsid w:val="002458B6"/>
    <w:rsid w:val="0024708B"/>
    <w:rsid w:val="00250656"/>
    <w:rsid w:val="00255C0B"/>
    <w:rsid w:val="002562D1"/>
    <w:rsid w:val="0025705B"/>
    <w:rsid w:val="00264013"/>
    <w:rsid w:val="00267003"/>
    <w:rsid w:val="00270E8A"/>
    <w:rsid w:val="002716DA"/>
    <w:rsid w:val="00272D81"/>
    <w:rsid w:val="00274002"/>
    <w:rsid w:val="0027543C"/>
    <w:rsid w:val="0027740A"/>
    <w:rsid w:val="0027786C"/>
    <w:rsid w:val="00280196"/>
    <w:rsid w:val="002818DA"/>
    <w:rsid w:val="002849B2"/>
    <w:rsid w:val="002861AC"/>
    <w:rsid w:val="00291481"/>
    <w:rsid w:val="002936E6"/>
    <w:rsid w:val="00294508"/>
    <w:rsid w:val="00294F99"/>
    <w:rsid w:val="0029564D"/>
    <w:rsid w:val="0029794C"/>
    <w:rsid w:val="002A2319"/>
    <w:rsid w:val="002A3223"/>
    <w:rsid w:val="002A35DF"/>
    <w:rsid w:val="002A37C2"/>
    <w:rsid w:val="002A37D2"/>
    <w:rsid w:val="002A5579"/>
    <w:rsid w:val="002A58D7"/>
    <w:rsid w:val="002A70A4"/>
    <w:rsid w:val="002B047A"/>
    <w:rsid w:val="002B1141"/>
    <w:rsid w:val="002B3F7D"/>
    <w:rsid w:val="002B5D62"/>
    <w:rsid w:val="002C235F"/>
    <w:rsid w:val="002C3F58"/>
    <w:rsid w:val="002C4861"/>
    <w:rsid w:val="002C4E45"/>
    <w:rsid w:val="002C73CF"/>
    <w:rsid w:val="002C787B"/>
    <w:rsid w:val="002D1995"/>
    <w:rsid w:val="002D1F1E"/>
    <w:rsid w:val="002D385A"/>
    <w:rsid w:val="002D4404"/>
    <w:rsid w:val="002D528C"/>
    <w:rsid w:val="002D65D7"/>
    <w:rsid w:val="002E091E"/>
    <w:rsid w:val="002E12E7"/>
    <w:rsid w:val="002E1D66"/>
    <w:rsid w:val="002E24E1"/>
    <w:rsid w:val="002E3AE3"/>
    <w:rsid w:val="002E4664"/>
    <w:rsid w:val="002E5058"/>
    <w:rsid w:val="002E5B4E"/>
    <w:rsid w:val="002E6098"/>
    <w:rsid w:val="002E617D"/>
    <w:rsid w:val="002E6AF3"/>
    <w:rsid w:val="002E6BB1"/>
    <w:rsid w:val="002E7CDA"/>
    <w:rsid w:val="002F04E2"/>
    <w:rsid w:val="002F1394"/>
    <w:rsid w:val="002F3734"/>
    <w:rsid w:val="002F43EC"/>
    <w:rsid w:val="002F4BC0"/>
    <w:rsid w:val="002F50D8"/>
    <w:rsid w:val="002F7159"/>
    <w:rsid w:val="003013CB"/>
    <w:rsid w:val="003026A1"/>
    <w:rsid w:val="00302B41"/>
    <w:rsid w:val="00303541"/>
    <w:rsid w:val="003036DC"/>
    <w:rsid w:val="00303999"/>
    <w:rsid w:val="00303E28"/>
    <w:rsid w:val="00306587"/>
    <w:rsid w:val="00311352"/>
    <w:rsid w:val="00312903"/>
    <w:rsid w:val="00314E0D"/>
    <w:rsid w:val="00317DF1"/>
    <w:rsid w:val="003221B7"/>
    <w:rsid w:val="00322C36"/>
    <w:rsid w:val="00325508"/>
    <w:rsid w:val="0032569C"/>
    <w:rsid w:val="003262CE"/>
    <w:rsid w:val="00331229"/>
    <w:rsid w:val="00331833"/>
    <w:rsid w:val="00331891"/>
    <w:rsid w:val="00332023"/>
    <w:rsid w:val="00332FBB"/>
    <w:rsid w:val="003355A0"/>
    <w:rsid w:val="00336E76"/>
    <w:rsid w:val="00337B74"/>
    <w:rsid w:val="003409E7"/>
    <w:rsid w:val="003426C4"/>
    <w:rsid w:val="003447F1"/>
    <w:rsid w:val="00345111"/>
    <w:rsid w:val="00346135"/>
    <w:rsid w:val="0034648D"/>
    <w:rsid w:val="00347FF5"/>
    <w:rsid w:val="00350AB1"/>
    <w:rsid w:val="00351968"/>
    <w:rsid w:val="0035214A"/>
    <w:rsid w:val="0035401E"/>
    <w:rsid w:val="0035479B"/>
    <w:rsid w:val="0035726B"/>
    <w:rsid w:val="00364343"/>
    <w:rsid w:val="00366F05"/>
    <w:rsid w:val="00367EEF"/>
    <w:rsid w:val="003714EE"/>
    <w:rsid w:val="00371802"/>
    <w:rsid w:val="00375F78"/>
    <w:rsid w:val="00380461"/>
    <w:rsid w:val="00380B3C"/>
    <w:rsid w:val="00380CF0"/>
    <w:rsid w:val="0038309F"/>
    <w:rsid w:val="00383A81"/>
    <w:rsid w:val="00383D96"/>
    <w:rsid w:val="00384E11"/>
    <w:rsid w:val="00386C26"/>
    <w:rsid w:val="0039489A"/>
    <w:rsid w:val="003952E0"/>
    <w:rsid w:val="003970AA"/>
    <w:rsid w:val="003A1922"/>
    <w:rsid w:val="003A2038"/>
    <w:rsid w:val="003A237B"/>
    <w:rsid w:val="003A2602"/>
    <w:rsid w:val="003A390B"/>
    <w:rsid w:val="003A6102"/>
    <w:rsid w:val="003A7912"/>
    <w:rsid w:val="003B1330"/>
    <w:rsid w:val="003B3331"/>
    <w:rsid w:val="003B755A"/>
    <w:rsid w:val="003C028C"/>
    <w:rsid w:val="003C1904"/>
    <w:rsid w:val="003C1CCB"/>
    <w:rsid w:val="003C2182"/>
    <w:rsid w:val="003C2F72"/>
    <w:rsid w:val="003C3BF0"/>
    <w:rsid w:val="003C5B99"/>
    <w:rsid w:val="003C6380"/>
    <w:rsid w:val="003C67EA"/>
    <w:rsid w:val="003C729C"/>
    <w:rsid w:val="003D2059"/>
    <w:rsid w:val="003D2A13"/>
    <w:rsid w:val="003D356C"/>
    <w:rsid w:val="003D3B7F"/>
    <w:rsid w:val="003D3E6D"/>
    <w:rsid w:val="003D45A0"/>
    <w:rsid w:val="003D4F7F"/>
    <w:rsid w:val="003D5CD0"/>
    <w:rsid w:val="003E3689"/>
    <w:rsid w:val="003E3DB8"/>
    <w:rsid w:val="003E729B"/>
    <w:rsid w:val="003F15D2"/>
    <w:rsid w:val="003F2BA2"/>
    <w:rsid w:val="003F3566"/>
    <w:rsid w:val="003F3FE2"/>
    <w:rsid w:val="003F4B97"/>
    <w:rsid w:val="00400FC1"/>
    <w:rsid w:val="004013CB"/>
    <w:rsid w:val="00402B90"/>
    <w:rsid w:val="00403035"/>
    <w:rsid w:val="00403859"/>
    <w:rsid w:val="00404FEC"/>
    <w:rsid w:val="00405EC1"/>
    <w:rsid w:val="00410312"/>
    <w:rsid w:val="004111CC"/>
    <w:rsid w:val="004119B6"/>
    <w:rsid w:val="00411AE0"/>
    <w:rsid w:val="00411BB9"/>
    <w:rsid w:val="00411EA4"/>
    <w:rsid w:val="00413396"/>
    <w:rsid w:val="00413E3F"/>
    <w:rsid w:val="004168EC"/>
    <w:rsid w:val="00416C3E"/>
    <w:rsid w:val="00422D5D"/>
    <w:rsid w:val="00423A1D"/>
    <w:rsid w:val="00423DBA"/>
    <w:rsid w:val="00424C09"/>
    <w:rsid w:val="0042756D"/>
    <w:rsid w:val="004308AF"/>
    <w:rsid w:val="00432CE6"/>
    <w:rsid w:val="00435F4A"/>
    <w:rsid w:val="00435F67"/>
    <w:rsid w:val="004375AC"/>
    <w:rsid w:val="004379D1"/>
    <w:rsid w:val="00437B46"/>
    <w:rsid w:val="00437D6E"/>
    <w:rsid w:val="00437FA8"/>
    <w:rsid w:val="00440AF6"/>
    <w:rsid w:val="00441192"/>
    <w:rsid w:val="00441463"/>
    <w:rsid w:val="00442A21"/>
    <w:rsid w:val="00445B41"/>
    <w:rsid w:val="00445B8C"/>
    <w:rsid w:val="00447094"/>
    <w:rsid w:val="00451E0F"/>
    <w:rsid w:val="00452897"/>
    <w:rsid w:val="00455953"/>
    <w:rsid w:val="004603D3"/>
    <w:rsid w:val="00464DCD"/>
    <w:rsid w:val="00466725"/>
    <w:rsid w:val="00467B12"/>
    <w:rsid w:val="00470176"/>
    <w:rsid w:val="00471EA2"/>
    <w:rsid w:val="00471F28"/>
    <w:rsid w:val="0047201D"/>
    <w:rsid w:val="00472359"/>
    <w:rsid w:val="00474472"/>
    <w:rsid w:val="00474EB0"/>
    <w:rsid w:val="0047559B"/>
    <w:rsid w:val="0047666B"/>
    <w:rsid w:val="00476926"/>
    <w:rsid w:val="00481980"/>
    <w:rsid w:val="00481E6D"/>
    <w:rsid w:val="00483E98"/>
    <w:rsid w:val="004841C5"/>
    <w:rsid w:val="004845F1"/>
    <w:rsid w:val="00484749"/>
    <w:rsid w:val="00485E81"/>
    <w:rsid w:val="00486F6F"/>
    <w:rsid w:val="0048734A"/>
    <w:rsid w:val="00491987"/>
    <w:rsid w:val="00496A33"/>
    <w:rsid w:val="004A2B40"/>
    <w:rsid w:val="004A4DE5"/>
    <w:rsid w:val="004A64CE"/>
    <w:rsid w:val="004B581F"/>
    <w:rsid w:val="004B7145"/>
    <w:rsid w:val="004C456D"/>
    <w:rsid w:val="004C75ED"/>
    <w:rsid w:val="004C784C"/>
    <w:rsid w:val="004D1021"/>
    <w:rsid w:val="004D117D"/>
    <w:rsid w:val="004D1722"/>
    <w:rsid w:val="004D2F58"/>
    <w:rsid w:val="004D51C4"/>
    <w:rsid w:val="004D7C57"/>
    <w:rsid w:val="004D7D10"/>
    <w:rsid w:val="004E08B1"/>
    <w:rsid w:val="004E0967"/>
    <w:rsid w:val="004E5782"/>
    <w:rsid w:val="004E6414"/>
    <w:rsid w:val="004E769C"/>
    <w:rsid w:val="004F09D4"/>
    <w:rsid w:val="004F19CE"/>
    <w:rsid w:val="004F500D"/>
    <w:rsid w:val="004F596E"/>
    <w:rsid w:val="005006DC"/>
    <w:rsid w:val="0050228B"/>
    <w:rsid w:val="00502C6E"/>
    <w:rsid w:val="00503534"/>
    <w:rsid w:val="0050400C"/>
    <w:rsid w:val="005047CA"/>
    <w:rsid w:val="00505581"/>
    <w:rsid w:val="00512490"/>
    <w:rsid w:val="00513C8B"/>
    <w:rsid w:val="00514500"/>
    <w:rsid w:val="00514F69"/>
    <w:rsid w:val="0052065C"/>
    <w:rsid w:val="00520CA6"/>
    <w:rsid w:val="00521137"/>
    <w:rsid w:val="0052450E"/>
    <w:rsid w:val="00525546"/>
    <w:rsid w:val="00525B74"/>
    <w:rsid w:val="00527C5D"/>
    <w:rsid w:val="00531B65"/>
    <w:rsid w:val="005321F1"/>
    <w:rsid w:val="00532863"/>
    <w:rsid w:val="0053291D"/>
    <w:rsid w:val="005357DD"/>
    <w:rsid w:val="005362DE"/>
    <w:rsid w:val="00536929"/>
    <w:rsid w:val="005406C6"/>
    <w:rsid w:val="005417D3"/>
    <w:rsid w:val="00543639"/>
    <w:rsid w:val="00544B1A"/>
    <w:rsid w:val="00546282"/>
    <w:rsid w:val="00547943"/>
    <w:rsid w:val="00550C98"/>
    <w:rsid w:val="0055176B"/>
    <w:rsid w:val="00553A0D"/>
    <w:rsid w:val="00553B61"/>
    <w:rsid w:val="00553FE8"/>
    <w:rsid w:val="00555837"/>
    <w:rsid w:val="0055648A"/>
    <w:rsid w:val="00563A13"/>
    <w:rsid w:val="00563FC3"/>
    <w:rsid w:val="00570EA1"/>
    <w:rsid w:val="00573B8F"/>
    <w:rsid w:val="00574028"/>
    <w:rsid w:val="005740AB"/>
    <w:rsid w:val="00574134"/>
    <w:rsid w:val="00577091"/>
    <w:rsid w:val="005820D2"/>
    <w:rsid w:val="005828E3"/>
    <w:rsid w:val="00582B32"/>
    <w:rsid w:val="00586C0F"/>
    <w:rsid w:val="00591156"/>
    <w:rsid w:val="00591BEE"/>
    <w:rsid w:val="00592271"/>
    <w:rsid w:val="00592B82"/>
    <w:rsid w:val="00596DCF"/>
    <w:rsid w:val="00597CF4"/>
    <w:rsid w:val="005A0F11"/>
    <w:rsid w:val="005A1269"/>
    <w:rsid w:val="005A393D"/>
    <w:rsid w:val="005A445F"/>
    <w:rsid w:val="005A4499"/>
    <w:rsid w:val="005A5A0C"/>
    <w:rsid w:val="005A6A9F"/>
    <w:rsid w:val="005A7456"/>
    <w:rsid w:val="005A79FE"/>
    <w:rsid w:val="005B2ABC"/>
    <w:rsid w:val="005B358C"/>
    <w:rsid w:val="005B3A0F"/>
    <w:rsid w:val="005B453E"/>
    <w:rsid w:val="005B4D65"/>
    <w:rsid w:val="005C02C7"/>
    <w:rsid w:val="005C133C"/>
    <w:rsid w:val="005C2EA8"/>
    <w:rsid w:val="005C2EC1"/>
    <w:rsid w:val="005C5F57"/>
    <w:rsid w:val="005C69D3"/>
    <w:rsid w:val="005C7E31"/>
    <w:rsid w:val="005D150D"/>
    <w:rsid w:val="005D1A7C"/>
    <w:rsid w:val="005D2EB7"/>
    <w:rsid w:val="005D4FC0"/>
    <w:rsid w:val="005D6FFB"/>
    <w:rsid w:val="005E131D"/>
    <w:rsid w:val="005E1EB0"/>
    <w:rsid w:val="005E20EB"/>
    <w:rsid w:val="005E6B7D"/>
    <w:rsid w:val="005F04AA"/>
    <w:rsid w:val="005F0B1B"/>
    <w:rsid w:val="005F2271"/>
    <w:rsid w:val="005F3EB6"/>
    <w:rsid w:val="005F4E1F"/>
    <w:rsid w:val="005F7B5D"/>
    <w:rsid w:val="00600A30"/>
    <w:rsid w:val="00601CC8"/>
    <w:rsid w:val="00601DE8"/>
    <w:rsid w:val="006026C7"/>
    <w:rsid w:val="00602E9D"/>
    <w:rsid w:val="006035F0"/>
    <w:rsid w:val="00604C19"/>
    <w:rsid w:val="006061B8"/>
    <w:rsid w:val="00606352"/>
    <w:rsid w:val="00610E38"/>
    <w:rsid w:val="00611941"/>
    <w:rsid w:val="00612FC4"/>
    <w:rsid w:val="0062369E"/>
    <w:rsid w:val="006236D2"/>
    <w:rsid w:val="006254FE"/>
    <w:rsid w:val="00625F6A"/>
    <w:rsid w:val="0062661C"/>
    <w:rsid w:val="00627D8A"/>
    <w:rsid w:val="006328F2"/>
    <w:rsid w:val="00632B00"/>
    <w:rsid w:val="006331B6"/>
    <w:rsid w:val="00637272"/>
    <w:rsid w:val="00637635"/>
    <w:rsid w:val="006403E2"/>
    <w:rsid w:val="006423E3"/>
    <w:rsid w:val="00645925"/>
    <w:rsid w:val="00646724"/>
    <w:rsid w:val="00647D3E"/>
    <w:rsid w:val="00650978"/>
    <w:rsid w:val="00650E23"/>
    <w:rsid w:val="00651D45"/>
    <w:rsid w:val="0065234D"/>
    <w:rsid w:val="006529A6"/>
    <w:rsid w:val="0065533D"/>
    <w:rsid w:val="0065553D"/>
    <w:rsid w:val="0065606D"/>
    <w:rsid w:val="00656A80"/>
    <w:rsid w:val="00657CC1"/>
    <w:rsid w:val="0066045C"/>
    <w:rsid w:val="0066092C"/>
    <w:rsid w:val="00665C37"/>
    <w:rsid w:val="00667B80"/>
    <w:rsid w:val="00671DD2"/>
    <w:rsid w:val="006727AC"/>
    <w:rsid w:val="00675338"/>
    <w:rsid w:val="0067740D"/>
    <w:rsid w:val="00681783"/>
    <w:rsid w:val="0068406B"/>
    <w:rsid w:val="00692024"/>
    <w:rsid w:val="00694E62"/>
    <w:rsid w:val="006950DD"/>
    <w:rsid w:val="00695554"/>
    <w:rsid w:val="0069565A"/>
    <w:rsid w:val="00695A61"/>
    <w:rsid w:val="00696BD9"/>
    <w:rsid w:val="006A0EF1"/>
    <w:rsid w:val="006A14F3"/>
    <w:rsid w:val="006A16F2"/>
    <w:rsid w:val="006A4587"/>
    <w:rsid w:val="006A5BD6"/>
    <w:rsid w:val="006A7A3F"/>
    <w:rsid w:val="006B638A"/>
    <w:rsid w:val="006B748E"/>
    <w:rsid w:val="006B7785"/>
    <w:rsid w:val="006C05EF"/>
    <w:rsid w:val="006C3742"/>
    <w:rsid w:val="006C796A"/>
    <w:rsid w:val="006D134D"/>
    <w:rsid w:val="006D1423"/>
    <w:rsid w:val="006D1B13"/>
    <w:rsid w:val="006D232B"/>
    <w:rsid w:val="006D2399"/>
    <w:rsid w:val="006D2D38"/>
    <w:rsid w:val="006D42FC"/>
    <w:rsid w:val="006D73AE"/>
    <w:rsid w:val="006E3D6A"/>
    <w:rsid w:val="006E4711"/>
    <w:rsid w:val="006E506B"/>
    <w:rsid w:val="006E7172"/>
    <w:rsid w:val="006F1261"/>
    <w:rsid w:val="006F31AF"/>
    <w:rsid w:val="006F46D1"/>
    <w:rsid w:val="006F5052"/>
    <w:rsid w:val="00700C73"/>
    <w:rsid w:val="00702C26"/>
    <w:rsid w:val="0070478C"/>
    <w:rsid w:val="00705090"/>
    <w:rsid w:val="007069CF"/>
    <w:rsid w:val="00711EBE"/>
    <w:rsid w:val="00713AEE"/>
    <w:rsid w:val="00714FF6"/>
    <w:rsid w:val="00720142"/>
    <w:rsid w:val="00721383"/>
    <w:rsid w:val="00721407"/>
    <w:rsid w:val="007255A4"/>
    <w:rsid w:val="007275CB"/>
    <w:rsid w:val="007302E6"/>
    <w:rsid w:val="0073188C"/>
    <w:rsid w:val="0073404F"/>
    <w:rsid w:val="00734225"/>
    <w:rsid w:val="007352E6"/>
    <w:rsid w:val="00735645"/>
    <w:rsid w:val="00735CA0"/>
    <w:rsid w:val="00736BAF"/>
    <w:rsid w:val="00737843"/>
    <w:rsid w:val="0074058C"/>
    <w:rsid w:val="00740DE9"/>
    <w:rsid w:val="00741725"/>
    <w:rsid w:val="00742087"/>
    <w:rsid w:val="00745557"/>
    <w:rsid w:val="00745FDD"/>
    <w:rsid w:val="00746592"/>
    <w:rsid w:val="007472F8"/>
    <w:rsid w:val="00747662"/>
    <w:rsid w:val="00751C19"/>
    <w:rsid w:val="00757257"/>
    <w:rsid w:val="007623D1"/>
    <w:rsid w:val="00763851"/>
    <w:rsid w:val="00763B76"/>
    <w:rsid w:val="00764193"/>
    <w:rsid w:val="007649CB"/>
    <w:rsid w:val="007661AF"/>
    <w:rsid w:val="00767383"/>
    <w:rsid w:val="0077292B"/>
    <w:rsid w:val="007770A9"/>
    <w:rsid w:val="0077750D"/>
    <w:rsid w:val="0078041C"/>
    <w:rsid w:val="00782A4F"/>
    <w:rsid w:val="0078303D"/>
    <w:rsid w:val="00784E3F"/>
    <w:rsid w:val="0079002A"/>
    <w:rsid w:val="007919A5"/>
    <w:rsid w:val="00795471"/>
    <w:rsid w:val="007A0B8E"/>
    <w:rsid w:val="007A0BD8"/>
    <w:rsid w:val="007A0EC1"/>
    <w:rsid w:val="007A2047"/>
    <w:rsid w:val="007A224F"/>
    <w:rsid w:val="007A41B9"/>
    <w:rsid w:val="007A4990"/>
    <w:rsid w:val="007A56D2"/>
    <w:rsid w:val="007A62F6"/>
    <w:rsid w:val="007A68B0"/>
    <w:rsid w:val="007A68C6"/>
    <w:rsid w:val="007A6AA0"/>
    <w:rsid w:val="007B0929"/>
    <w:rsid w:val="007B0F23"/>
    <w:rsid w:val="007B20BC"/>
    <w:rsid w:val="007B2549"/>
    <w:rsid w:val="007B30BC"/>
    <w:rsid w:val="007B3D8F"/>
    <w:rsid w:val="007B5AA9"/>
    <w:rsid w:val="007B6FE4"/>
    <w:rsid w:val="007B787B"/>
    <w:rsid w:val="007B7FA4"/>
    <w:rsid w:val="007C0822"/>
    <w:rsid w:val="007C0B17"/>
    <w:rsid w:val="007C1620"/>
    <w:rsid w:val="007C23E9"/>
    <w:rsid w:val="007C473B"/>
    <w:rsid w:val="007C5A5C"/>
    <w:rsid w:val="007C6549"/>
    <w:rsid w:val="007C6B0C"/>
    <w:rsid w:val="007C7786"/>
    <w:rsid w:val="007D1960"/>
    <w:rsid w:val="007D2072"/>
    <w:rsid w:val="007D21D5"/>
    <w:rsid w:val="007D33C8"/>
    <w:rsid w:val="007D69FB"/>
    <w:rsid w:val="007D6D03"/>
    <w:rsid w:val="007D71E8"/>
    <w:rsid w:val="007E0414"/>
    <w:rsid w:val="007E09FB"/>
    <w:rsid w:val="007E13AC"/>
    <w:rsid w:val="007E62D9"/>
    <w:rsid w:val="007E6916"/>
    <w:rsid w:val="007E710B"/>
    <w:rsid w:val="007E72A5"/>
    <w:rsid w:val="007F4F50"/>
    <w:rsid w:val="007F5708"/>
    <w:rsid w:val="00801207"/>
    <w:rsid w:val="0080138D"/>
    <w:rsid w:val="00801C71"/>
    <w:rsid w:val="00802726"/>
    <w:rsid w:val="00803885"/>
    <w:rsid w:val="008075E2"/>
    <w:rsid w:val="008131C7"/>
    <w:rsid w:val="00813924"/>
    <w:rsid w:val="00814A17"/>
    <w:rsid w:val="00814DF1"/>
    <w:rsid w:val="0082177A"/>
    <w:rsid w:val="00823940"/>
    <w:rsid w:val="008244C6"/>
    <w:rsid w:val="008247FB"/>
    <w:rsid w:val="00824C93"/>
    <w:rsid w:val="00826EBD"/>
    <w:rsid w:val="00827B6F"/>
    <w:rsid w:val="008304C7"/>
    <w:rsid w:val="00830A5C"/>
    <w:rsid w:val="0083257C"/>
    <w:rsid w:val="008331F3"/>
    <w:rsid w:val="00833A85"/>
    <w:rsid w:val="00835884"/>
    <w:rsid w:val="00835DB8"/>
    <w:rsid w:val="0083768B"/>
    <w:rsid w:val="00841072"/>
    <w:rsid w:val="008425E1"/>
    <w:rsid w:val="008433E1"/>
    <w:rsid w:val="0084464F"/>
    <w:rsid w:val="00855A5E"/>
    <w:rsid w:val="00856358"/>
    <w:rsid w:val="00856624"/>
    <w:rsid w:val="00861252"/>
    <w:rsid w:val="008626CB"/>
    <w:rsid w:val="00864D5A"/>
    <w:rsid w:val="00866C1F"/>
    <w:rsid w:val="00870D06"/>
    <w:rsid w:val="008719AF"/>
    <w:rsid w:val="00871B50"/>
    <w:rsid w:val="008748D7"/>
    <w:rsid w:val="008757C0"/>
    <w:rsid w:val="00877557"/>
    <w:rsid w:val="00880D44"/>
    <w:rsid w:val="00881A89"/>
    <w:rsid w:val="00881B36"/>
    <w:rsid w:val="00881C63"/>
    <w:rsid w:val="008833C1"/>
    <w:rsid w:val="0088626F"/>
    <w:rsid w:val="008909FC"/>
    <w:rsid w:val="008915EE"/>
    <w:rsid w:val="00891E31"/>
    <w:rsid w:val="00894625"/>
    <w:rsid w:val="00894674"/>
    <w:rsid w:val="00895115"/>
    <w:rsid w:val="00896681"/>
    <w:rsid w:val="008A0C5E"/>
    <w:rsid w:val="008A1F92"/>
    <w:rsid w:val="008A2500"/>
    <w:rsid w:val="008A486F"/>
    <w:rsid w:val="008A6A76"/>
    <w:rsid w:val="008B0675"/>
    <w:rsid w:val="008B3B30"/>
    <w:rsid w:val="008B3D5A"/>
    <w:rsid w:val="008B5374"/>
    <w:rsid w:val="008B5F6A"/>
    <w:rsid w:val="008B6FD1"/>
    <w:rsid w:val="008B70C7"/>
    <w:rsid w:val="008B7F42"/>
    <w:rsid w:val="008C0E3A"/>
    <w:rsid w:val="008C371E"/>
    <w:rsid w:val="008C458B"/>
    <w:rsid w:val="008C5DA9"/>
    <w:rsid w:val="008C7230"/>
    <w:rsid w:val="008D0573"/>
    <w:rsid w:val="008D22B0"/>
    <w:rsid w:val="008D4602"/>
    <w:rsid w:val="008D7F1D"/>
    <w:rsid w:val="008D7FCA"/>
    <w:rsid w:val="008E0863"/>
    <w:rsid w:val="008E7CFF"/>
    <w:rsid w:val="008F21D7"/>
    <w:rsid w:val="008F2436"/>
    <w:rsid w:val="008F260E"/>
    <w:rsid w:val="008F439C"/>
    <w:rsid w:val="008F5686"/>
    <w:rsid w:val="00900043"/>
    <w:rsid w:val="009028F4"/>
    <w:rsid w:val="00902B35"/>
    <w:rsid w:val="009034B2"/>
    <w:rsid w:val="009047C8"/>
    <w:rsid w:val="009057A7"/>
    <w:rsid w:val="00905B6C"/>
    <w:rsid w:val="00905DFA"/>
    <w:rsid w:val="00906D70"/>
    <w:rsid w:val="00907C15"/>
    <w:rsid w:val="00910110"/>
    <w:rsid w:val="00910B63"/>
    <w:rsid w:val="00910F6A"/>
    <w:rsid w:val="00914DD2"/>
    <w:rsid w:val="00915B7E"/>
    <w:rsid w:val="00920AB9"/>
    <w:rsid w:val="00920DB1"/>
    <w:rsid w:val="009214F9"/>
    <w:rsid w:val="0092152E"/>
    <w:rsid w:val="00921FB5"/>
    <w:rsid w:val="0092597F"/>
    <w:rsid w:val="00927635"/>
    <w:rsid w:val="00933928"/>
    <w:rsid w:val="00934669"/>
    <w:rsid w:val="00936DB6"/>
    <w:rsid w:val="00936E68"/>
    <w:rsid w:val="00937245"/>
    <w:rsid w:val="00940242"/>
    <w:rsid w:val="00942A22"/>
    <w:rsid w:val="00943B03"/>
    <w:rsid w:val="00944621"/>
    <w:rsid w:val="00944720"/>
    <w:rsid w:val="009468F5"/>
    <w:rsid w:val="00946932"/>
    <w:rsid w:val="00947AD3"/>
    <w:rsid w:val="00951C22"/>
    <w:rsid w:val="009529E1"/>
    <w:rsid w:val="00952E92"/>
    <w:rsid w:val="00952F4B"/>
    <w:rsid w:val="009538A8"/>
    <w:rsid w:val="00954168"/>
    <w:rsid w:val="00954174"/>
    <w:rsid w:val="0095421C"/>
    <w:rsid w:val="0095438A"/>
    <w:rsid w:val="00956DF6"/>
    <w:rsid w:val="00957263"/>
    <w:rsid w:val="00957C5B"/>
    <w:rsid w:val="0096027C"/>
    <w:rsid w:val="0096209A"/>
    <w:rsid w:val="009625D7"/>
    <w:rsid w:val="009627D5"/>
    <w:rsid w:val="0096316F"/>
    <w:rsid w:val="0096479A"/>
    <w:rsid w:val="009647BD"/>
    <w:rsid w:val="00965363"/>
    <w:rsid w:val="009665A8"/>
    <w:rsid w:val="0096711B"/>
    <w:rsid w:val="00970945"/>
    <w:rsid w:val="009709D1"/>
    <w:rsid w:val="009802B9"/>
    <w:rsid w:val="00981011"/>
    <w:rsid w:val="009810CD"/>
    <w:rsid w:val="00982D40"/>
    <w:rsid w:val="00983599"/>
    <w:rsid w:val="00984C9D"/>
    <w:rsid w:val="0098555E"/>
    <w:rsid w:val="009863E2"/>
    <w:rsid w:val="009902E4"/>
    <w:rsid w:val="00991434"/>
    <w:rsid w:val="0099352E"/>
    <w:rsid w:val="00996AAA"/>
    <w:rsid w:val="0099736A"/>
    <w:rsid w:val="009A035F"/>
    <w:rsid w:val="009A1E01"/>
    <w:rsid w:val="009A48E5"/>
    <w:rsid w:val="009A5899"/>
    <w:rsid w:val="009B0E42"/>
    <w:rsid w:val="009B0E59"/>
    <w:rsid w:val="009B1DF6"/>
    <w:rsid w:val="009B46B3"/>
    <w:rsid w:val="009B5E92"/>
    <w:rsid w:val="009B6A19"/>
    <w:rsid w:val="009C0D4E"/>
    <w:rsid w:val="009C2865"/>
    <w:rsid w:val="009C2B62"/>
    <w:rsid w:val="009C44C9"/>
    <w:rsid w:val="009C547E"/>
    <w:rsid w:val="009D0567"/>
    <w:rsid w:val="009D1FD5"/>
    <w:rsid w:val="009D3EBE"/>
    <w:rsid w:val="009D4A34"/>
    <w:rsid w:val="009E0E22"/>
    <w:rsid w:val="009E1189"/>
    <w:rsid w:val="009E170D"/>
    <w:rsid w:val="009E47AF"/>
    <w:rsid w:val="009E77EE"/>
    <w:rsid w:val="009F2E2E"/>
    <w:rsid w:val="009F379C"/>
    <w:rsid w:val="00A00315"/>
    <w:rsid w:val="00A00841"/>
    <w:rsid w:val="00A012CD"/>
    <w:rsid w:val="00A01D9D"/>
    <w:rsid w:val="00A01F23"/>
    <w:rsid w:val="00A022DE"/>
    <w:rsid w:val="00A02CD8"/>
    <w:rsid w:val="00A06871"/>
    <w:rsid w:val="00A11B94"/>
    <w:rsid w:val="00A13BE9"/>
    <w:rsid w:val="00A1487A"/>
    <w:rsid w:val="00A14F6B"/>
    <w:rsid w:val="00A17AC7"/>
    <w:rsid w:val="00A216F9"/>
    <w:rsid w:val="00A22354"/>
    <w:rsid w:val="00A236C5"/>
    <w:rsid w:val="00A23E25"/>
    <w:rsid w:val="00A269E8"/>
    <w:rsid w:val="00A3064F"/>
    <w:rsid w:val="00A3099E"/>
    <w:rsid w:val="00A3196C"/>
    <w:rsid w:val="00A3197A"/>
    <w:rsid w:val="00A32AFF"/>
    <w:rsid w:val="00A35183"/>
    <w:rsid w:val="00A35E88"/>
    <w:rsid w:val="00A3671D"/>
    <w:rsid w:val="00A367C9"/>
    <w:rsid w:val="00A373F0"/>
    <w:rsid w:val="00A37BB4"/>
    <w:rsid w:val="00A37C38"/>
    <w:rsid w:val="00A37D9A"/>
    <w:rsid w:val="00A41367"/>
    <w:rsid w:val="00A42B11"/>
    <w:rsid w:val="00A4412D"/>
    <w:rsid w:val="00A46822"/>
    <w:rsid w:val="00A504B6"/>
    <w:rsid w:val="00A563D6"/>
    <w:rsid w:val="00A57AA1"/>
    <w:rsid w:val="00A633C3"/>
    <w:rsid w:val="00A64099"/>
    <w:rsid w:val="00A64309"/>
    <w:rsid w:val="00A65494"/>
    <w:rsid w:val="00A65DC3"/>
    <w:rsid w:val="00A6627D"/>
    <w:rsid w:val="00A7052D"/>
    <w:rsid w:val="00A70CAD"/>
    <w:rsid w:val="00A711C6"/>
    <w:rsid w:val="00A7163E"/>
    <w:rsid w:val="00A71EBA"/>
    <w:rsid w:val="00A73899"/>
    <w:rsid w:val="00A74678"/>
    <w:rsid w:val="00A74F99"/>
    <w:rsid w:val="00A77A90"/>
    <w:rsid w:val="00A80876"/>
    <w:rsid w:val="00A80D4C"/>
    <w:rsid w:val="00A81ADF"/>
    <w:rsid w:val="00A83549"/>
    <w:rsid w:val="00A845DE"/>
    <w:rsid w:val="00A8539D"/>
    <w:rsid w:val="00A85B7F"/>
    <w:rsid w:val="00A85CF5"/>
    <w:rsid w:val="00A93A68"/>
    <w:rsid w:val="00A953F1"/>
    <w:rsid w:val="00A960A3"/>
    <w:rsid w:val="00AA0D16"/>
    <w:rsid w:val="00AA2F90"/>
    <w:rsid w:val="00AA61A9"/>
    <w:rsid w:val="00AB1560"/>
    <w:rsid w:val="00AB2317"/>
    <w:rsid w:val="00AB34CD"/>
    <w:rsid w:val="00AB4E77"/>
    <w:rsid w:val="00AB536C"/>
    <w:rsid w:val="00AB6960"/>
    <w:rsid w:val="00AB7277"/>
    <w:rsid w:val="00AB7A88"/>
    <w:rsid w:val="00AC17B0"/>
    <w:rsid w:val="00AC3DE5"/>
    <w:rsid w:val="00AC4535"/>
    <w:rsid w:val="00AC46F8"/>
    <w:rsid w:val="00AC7A2F"/>
    <w:rsid w:val="00AD10F5"/>
    <w:rsid w:val="00AD16F7"/>
    <w:rsid w:val="00AD2165"/>
    <w:rsid w:val="00AD238E"/>
    <w:rsid w:val="00AD3C1E"/>
    <w:rsid w:val="00AD40E2"/>
    <w:rsid w:val="00AE1BFF"/>
    <w:rsid w:val="00AE1C20"/>
    <w:rsid w:val="00AE2196"/>
    <w:rsid w:val="00AE2448"/>
    <w:rsid w:val="00AE364C"/>
    <w:rsid w:val="00AE375C"/>
    <w:rsid w:val="00AE6513"/>
    <w:rsid w:val="00AF1CC5"/>
    <w:rsid w:val="00AF1D83"/>
    <w:rsid w:val="00AF3984"/>
    <w:rsid w:val="00AF453B"/>
    <w:rsid w:val="00AF57A2"/>
    <w:rsid w:val="00AF5A1D"/>
    <w:rsid w:val="00B0400F"/>
    <w:rsid w:val="00B072E9"/>
    <w:rsid w:val="00B12E37"/>
    <w:rsid w:val="00B1408A"/>
    <w:rsid w:val="00B14149"/>
    <w:rsid w:val="00B161C6"/>
    <w:rsid w:val="00B16993"/>
    <w:rsid w:val="00B17723"/>
    <w:rsid w:val="00B20779"/>
    <w:rsid w:val="00B2122C"/>
    <w:rsid w:val="00B21D66"/>
    <w:rsid w:val="00B22424"/>
    <w:rsid w:val="00B22655"/>
    <w:rsid w:val="00B23F1A"/>
    <w:rsid w:val="00B24096"/>
    <w:rsid w:val="00B24E0B"/>
    <w:rsid w:val="00B2602B"/>
    <w:rsid w:val="00B30AB8"/>
    <w:rsid w:val="00B313B0"/>
    <w:rsid w:val="00B35F35"/>
    <w:rsid w:val="00B3688A"/>
    <w:rsid w:val="00B3724D"/>
    <w:rsid w:val="00B37441"/>
    <w:rsid w:val="00B375DB"/>
    <w:rsid w:val="00B404EC"/>
    <w:rsid w:val="00B40E93"/>
    <w:rsid w:val="00B41E7A"/>
    <w:rsid w:val="00B420B3"/>
    <w:rsid w:val="00B431A5"/>
    <w:rsid w:val="00B43373"/>
    <w:rsid w:val="00B444C0"/>
    <w:rsid w:val="00B44DBD"/>
    <w:rsid w:val="00B463FE"/>
    <w:rsid w:val="00B47601"/>
    <w:rsid w:val="00B5142F"/>
    <w:rsid w:val="00B537B0"/>
    <w:rsid w:val="00B54748"/>
    <w:rsid w:val="00B56293"/>
    <w:rsid w:val="00B57287"/>
    <w:rsid w:val="00B576C8"/>
    <w:rsid w:val="00B57D46"/>
    <w:rsid w:val="00B61E2D"/>
    <w:rsid w:val="00B63BE7"/>
    <w:rsid w:val="00B64611"/>
    <w:rsid w:val="00B65BA5"/>
    <w:rsid w:val="00B67640"/>
    <w:rsid w:val="00B71FA1"/>
    <w:rsid w:val="00B74E14"/>
    <w:rsid w:val="00B75478"/>
    <w:rsid w:val="00B768AD"/>
    <w:rsid w:val="00B76CC1"/>
    <w:rsid w:val="00B76F47"/>
    <w:rsid w:val="00B770FB"/>
    <w:rsid w:val="00B80CC5"/>
    <w:rsid w:val="00B81C6B"/>
    <w:rsid w:val="00B82E89"/>
    <w:rsid w:val="00B8338F"/>
    <w:rsid w:val="00B840B9"/>
    <w:rsid w:val="00B849CF"/>
    <w:rsid w:val="00B86BC0"/>
    <w:rsid w:val="00B87D5A"/>
    <w:rsid w:val="00B914F4"/>
    <w:rsid w:val="00B91B70"/>
    <w:rsid w:val="00B972A9"/>
    <w:rsid w:val="00B975F7"/>
    <w:rsid w:val="00B97A84"/>
    <w:rsid w:val="00BA753B"/>
    <w:rsid w:val="00BB2032"/>
    <w:rsid w:val="00BB3049"/>
    <w:rsid w:val="00BB3761"/>
    <w:rsid w:val="00BB3D6E"/>
    <w:rsid w:val="00BB4CAF"/>
    <w:rsid w:val="00BB57AB"/>
    <w:rsid w:val="00BB7264"/>
    <w:rsid w:val="00BC0CF0"/>
    <w:rsid w:val="00BC2E1B"/>
    <w:rsid w:val="00BD1766"/>
    <w:rsid w:val="00BD650B"/>
    <w:rsid w:val="00BE3DF1"/>
    <w:rsid w:val="00BE3EF0"/>
    <w:rsid w:val="00BE4997"/>
    <w:rsid w:val="00BE532D"/>
    <w:rsid w:val="00BE585F"/>
    <w:rsid w:val="00BE5EF9"/>
    <w:rsid w:val="00BE6ED6"/>
    <w:rsid w:val="00BE797B"/>
    <w:rsid w:val="00BE7ABA"/>
    <w:rsid w:val="00BF05C9"/>
    <w:rsid w:val="00BF0782"/>
    <w:rsid w:val="00BF165B"/>
    <w:rsid w:val="00BF1792"/>
    <w:rsid w:val="00BF22F6"/>
    <w:rsid w:val="00BF5082"/>
    <w:rsid w:val="00BF6874"/>
    <w:rsid w:val="00C001B9"/>
    <w:rsid w:val="00C051A2"/>
    <w:rsid w:val="00C065D9"/>
    <w:rsid w:val="00C07266"/>
    <w:rsid w:val="00C07DDC"/>
    <w:rsid w:val="00C07EFB"/>
    <w:rsid w:val="00C14D60"/>
    <w:rsid w:val="00C164AD"/>
    <w:rsid w:val="00C172F2"/>
    <w:rsid w:val="00C1773E"/>
    <w:rsid w:val="00C17AF6"/>
    <w:rsid w:val="00C21031"/>
    <w:rsid w:val="00C21F0C"/>
    <w:rsid w:val="00C2230F"/>
    <w:rsid w:val="00C22702"/>
    <w:rsid w:val="00C242D1"/>
    <w:rsid w:val="00C30F21"/>
    <w:rsid w:val="00C31D5E"/>
    <w:rsid w:val="00C33072"/>
    <w:rsid w:val="00C34E72"/>
    <w:rsid w:val="00C35ECA"/>
    <w:rsid w:val="00C369A9"/>
    <w:rsid w:val="00C36F14"/>
    <w:rsid w:val="00C37C2B"/>
    <w:rsid w:val="00C405C0"/>
    <w:rsid w:val="00C47B00"/>
    <w:rsid w:val="00C5197A"/>
    <w:rsid w:val="00C533B7"/>
    <w:rsid w:val="00C55A22"/>
    <w:rsid w:val="00C55DE6"/>
    <w:rsid w:val="00C55FF5"/>
    <w:rsid w:val="00C5632D"/>
    <w:rsid w:val="00C56B7A"/>
    <w:rsid w:val="00C64B96"/>
    <w:rsid w:val="00C65383"/>
    <w:rsid w:val="00C67912"/>
    <w:rsid w:val="00C718C7"/>
    <w:rsid w:val="00C73C2C"/>
    <w:rsid w:val="00C73CFC"/>
    <w:rsid w:val="00C7449A"/>
    <w:rsid w:val="00C744FF"/>
    <w:rsid w:val="00C772D5"/>
    <w:rsid w:val="00C82398"/>
    <w:rsid w:val="00C83141"/>
    <w:rsid w:val="00C83176"/>
    <w:rsid w:val="00C83959"/>
    <w:rsid w:val="00C83C10"/>
    <w:rsid w:val="00C853FE"/>
    <w:rsid w:val="00C86E2F"/>
    <w:rsid w:val="00C87894"/>
    <w:rsid w:val="00C90B44"/>
    <w:rsid w:val="00C91A5B"/>
    <w:rsid w:val="00C91CBA"/>
    <w:rsid w:val="00C9399B"/>
    <w:rsid w:val="00C972D2"/>
    <w:rsid w:val="00C97FD7"/>
    <w:rsid w:val="00CA0C1B"/>
    <w:rsid w:val="00CA3097"/>
    <w:rsid w:val="00CA67BE"/>
    <w:rsid w:val="00CA71CF"/>
    <w:rsid w:val="00CA748B"/>
    <w:rsid w:val="00CA7C63"/>
    <w:rsid w:val="00CB33B1"/>
    <w:rsid w:val="00CB67CA"/>
    <w:rsid w:val="00CB7298"/>
    <w:rsid w:val="00CC675A"/>
    <w:rsid w:val="00CC75F5"/>
    <w:rsid w:val="00CC77D5"/>
    <w:rsid w:val="00CD2D6F"/>
    <w:rsid w:val="00CD34F0"/>
    <w:rsid w:val="00CD3EED"/>
    <w:rsid w:val="00CD7DB9"/>
    <w:rsid w:val="00CE09E2"/>
    <w:rsid w:val="00CE184D"/>
    <w:rsid w:val="00CE3E53"/>
    <w:rsid w:val="00CE479F"/>
    <w:rsid w:val="00CE685E"/>
    <w:rsid w:val="00CE752C"/>
    <w:rsid w:val="00CF230C"/>
    <w:rsid w:val="00CF3CED"/>
    <w:rsid w:val="00CF661E"/>
    <w:rsid w:val="00D06C46"/>
    <w:rsid w:val="00D072C2"/>
    <w:rsid w:val="00D07D2C"/>
    <w:rsid w:val="00D10E29"/>
    <w:rsid w:val="00D11230"/>
    <w:rsid w:val="00D1380A"/>
    <w:rsid w:val="00D154EF"/>
    <w:rsid w:val="00D207F3"/>
    <w:rsid w:val="00D20C7C"/>
    <w:rsid w:val="00D20F0F"/>
    <w:rsid w:val="00D2132C"/>
    <w:rsid w:val="00D21BF0"/>
    <w:rsid w:val="00D21F2E"/>
    <w:rsid w:val="00D24491"/>
    <w:rsid w:val="00D2525F"/>
    <w:rsid w:val="00D256DF"/>
    <w:rsid w:val="00D256FB"/>
    <w:rsid w:val="00D3132C"/>
    <w:rsid w:val="00D317B6"/>
    <w:rsid w:val="00D32D55"/>
    <w:rsid w:val="00D33536"/>
    <w:rsid w:val="00D34316"/>
    <w:rsid w:val="00D34DF8"/>
    <w:rsid w:val="00D364FD"/>
    <w:rsid w:val="00D368FB"/>
    <w:rsid w:val="00D37476"/>
    <w:rsid w:val="00D37B38"/>
    <w:rsid w:val="00D4063C"/>
    <w:rsid w:val="00D40881"/>
    <w:rsid w:val="00D40C88"/>
    <w:rsid w:val="00D40CC6"/>
    <w:rsid w:val="00D43E92"/>
    <w:rsid w:val="00D4458C"/>
    <w:rsid w:val="00D50148"/>
    <w:rsid w:val="00D512DD"/>
    <w:rsid w:val="00D516FB"/>
    <w:rsid w:val="00D51DB4"/>
    <w:rsid w:val="00D52274"/>
    <w:rsid w:val="00D5240D"/>
    <w:rsid w:val="00D545B9"/>
    <w:rsid w:val="00D553D3"/>
    <w:rsid w:val="00D553D6"/>
    <w:rsid w:val="00D55BD2"/>
    <w:rsid w:val="00D560D6"/>
    <w:rsid w:val="00D56187"/>
    <w:rsid w:val="00D606F7"/>
    <w:rsid w:val="00D612A2"/>
    <w:rsid w:val="00D6211C"/>
    <w:rsid w:val="00D63009"/>
    <w:rsid w:val="00D635B9"/>
    <w:rsid w:val="00D65DD7"/>
    <w:rsid w:val="00D67111"/>
    <w:rsid w:val="00D677A7"/>
    <w:rsid w:val="00D74F92"/>
    <w:rsid w:val="00D76FFE"/>
    <w:rsid w:val="00D773CC"/>
    <w:rsid w:val="00D7740E"/>
    <w:rsid w:val="00D80358"/>
    <w:rsid w:val="00D80A2B"/>
    <w:rsid w:val="00D82881"/>
    <w:rsid w:val="00D83252"/>
    <w:rsid w:val="00D83254"/>
    <w:rsid w:val="00D83D10"/>
    <w:rsid w:val="00D840E1"/>
    <w:rsid w:val="00D846CF"/>
    <w:rsid w:val="00D90563"/>
    <w:rsid w:val="00D93B91"/>
    <w:rsid w:val="00D97E1C"/>
    <w:rsid w:val="00DA3204"/>
    <w:rsid w:val="00DA3D0D"/>
    <w:rsid w:val="00DA6D30"/>
    <w:rsid w:val="00DB0C4A"/>
    <w:rsid w:val="00DB3F49"/>
    <w:rsid w:val="00DB5605"/>
    <w:rsid w:val="00DB7B9E"/>
    <w:rsid w:val="00DC155D"/>
    <w:rsid w:val="00DC2019"/>
    <w:rsid w:val="00DC4161"/>
    <w:rsid w:val="00DC6827"/>
    <w:rsid w:val="00DC7D2C"/>
    <w:rsid w:val="00DD0037"/>
    <w:rsid w:val="00DD164E"/>
    <w:rsid w:val="00DD38D6"/>
    <w:rsid w:val="00DD3EDD"/>
    <w:rsid w:val="00DD4D56"/>
    <w:rsid w:val="00DD54D2"/>
    <w:rsid w:val="00DE0201"/>
    <w:rsid w:val="00DE0DFF"/>
    <w:rsid w:val="00DE2F69"/>
    <w:rsid w:val="00DE3667"/>
    <w:rsid w:val="00DE38BF"/>
    <w:rsid w:val="00DE3A1B"/>
    <w:rsid w:val="00DE475D"/>
    <w:rsid w:val="00DE487C"/>
    <w:rsid w:val="00DF11A6"/>
    <w:rsid w:val="00DF28E0"/>
    <w:rsid w:val="00DF4B54"/>
    <w:rsid w:val="00E00C48"/>
    <w:rsid w:val="00E01B1C"/>
    <w:rsid w:val="00E03AEC"/>
    <w:rsid w:val="00E109CE"/>
    <w:rsid w:val="00E127F0"/>
    <w:rsid w:val="00E16DE6"/>
    <w:rsid w:val="00E21A8A"/>
    <w:rsid w:val="00E22DE8"/>
    <w:rsid w:val="00E23346"/>
    <w:rsid w:val="00E236A3"/>
    <w:rsid w:val="00E256C3"/>
    <w:rsid w:val="00E26C9A"/>
    <w:rsid w:val="00E27E7E"/>
    <w:rsid w:val="00E300F8"/>
    <w:rsid w:val="00E335E3"/>
    <w:rsid w:val="00E366ED"/>
    <w:rsid w:val="00E377BB"/>
    <w:rsid w:val="00E37DEA"/>
    <w:rsid w:val="00E41978"/>
    <w:rsid w:val="00E41F25"/>
    <w:rsid w:val="00E43162"/>
    <w:rsid w:val="00E433EC"/>
    <w:rsid w:val="00E4529F"/>
    <w:rsid w:val="00E4649B"/>
    <w:rsid w:val="00E469A6"/>
    <w:rsid w:val="00E47EDC"/>
    <w:rsid w:val="00E51376"/>
    <w:rsid w:val="00E538B7"/>
    <w:rsid w:val="00E54645"/>
    <w:rsid w:val="00E606A9"/>
    <w:rsid w:val="00E62283"/>
    <w:rsid w:val="00E628F3"/>
    <w:rsid w:val="00E63496"/>
    <w:rsid w:val="00E64D4A"/>
    <w:rsid w:val="00E7004E"/>
    <w:rsid w:val="00E7189B"/>
    <w:rsid w:val="00E72360"/>
    <w:rsid w:val="00E727F8"/>
    <w:rsid w:val="00E73E9A"/>
    <w:rsid w:val="00E819C8"/>
    <w:rsid w:val="00E842C6"/>
    <w:rsid w:val="00E85D7E"/>
    <w:rsid w:val="00E900C5"/>
    <w:rsid w:val="00E91DC1"/>
    <w:rsid w:val="00E950CB"/>
    <w:rsid w:val="00E96474"/>
    <w:rsid w:val="00EA1F31"/>
    <w:rsid w:val="00EB12F4"/>
    <w:rsid w:val="00EB179D"/>
    <w:rsid w:val="00EB25CE"/>
    <w:rsid w:val="00EB2725"/>
    <w:rsid w:val="00EB3197"/>
    <w:rsid w:val="00EB4CF1"/>
    <w:rsid w:val="00EB540B"/>
    <w:rsid w:val="00EB57B8"/>
    <w:rsid w:val="00EB6142"/>
    <w:rsid w:val="00EC16E3"/>
    <w:rsid w:val="00EC2BE2"/>
    <w:rsid w:val="00EC3AFB"/>
    <w:rsid w:val="00EC41F8"/>
    <w:rsid w:val="00EC5CCD"/>
    <w:rsid w:val="00EC7D8F"/>
    <w:rsid w:val="00ED117D"/>
    <w:rsid w:val="00ED1C4D"/>
    <w:rsid w:val="00ED23CF"/>
    <w:rsid w:val="00ED2CBC"/>
    <w:rsid w:val="00ED2EFB"/>
    <w:rsid w:val="00ED4088"/>
    <w:rsid w:val="00ED6557"/>
    <w:rsid w:val="00ED6CD5"/>
    <w:rsid w:val="00EE01B6"/>
    <w:rsid w:val="00EE067B"/>
    <w:rsid w:val="00EE0F49"/>
    <w:rsid w:val="00EE1077"/>
    <w:rsid w:val="00EE38FB"/>
    <w:rsid w:val="00EE4282"/>
    <w:rsid w:val="00EE5051"/>
    <w:rsid w:val="00EE7A46"/>
    <w:rsid w:val="00EF19E3"/>
    <w:rsid w:val="00EF2406"/>
    <w:rsid w:val="00EF36F1"/>
    <w:rsid w:val="00EF5F56"/>
    <w:rsid w:val="00EF658F"/>
    <w:rsid w:val="00EF7BA0"/>
    <w:rsid w:val="00F00D8B"/>
    <w:rsid w:val="00F023AE"/>
    <w:rsid w:val="00F023ED"/>
    <w:rsid w:val="00F03900"/>
    <w:rsid w:val="00F0455A"/>
    <w:rsid w:val="00F06672"/>
    <w:rsid w:val="00F10214"/>
    <w:rsid w:val="00F10ED3"/>
    <w:rsid w:val="00F2043C"/>
    <w:rsid w:val="00F22F9E"/>
    <w:rsid w:val="00F251E9"/>
    <w:rsid w:val="00F27BEF"/>
    <w:rsid w:val="00F32649"/>
    <w:rsid w:val="00F3340B"/>
    <w:rsid w:val="00F36073"/>
    <w:rsid w:val="00F40CA6"/>
    <w:rsid w:val="00F42447"/>
    <w:rsid w:val="00F46513"/>
    <w:rsid w:val="00F46CAA"/>
    <w:rsid w:val="00F5247E"/>
    <w:rsid w:val="00F54614"/>
    <w:rsid w:val="00F54D78"/>
    <w:rsid w:val="00F56AD7"/>
    <w:rsid w:val="00F57BDB"/>
    <w:rsid w:val="00F61CEE"/>
    <w:rsid w:val="00F62383"/>
    <w:rsid w:val="00F6241E"/>
    <w:rsid w:val="00F62CEC"/>
    <w:rsid w:val="00F6388A"/>
    <w:rsid w:val="00F63CB9"/>
    <w:rsid w:val="00F64348"/>
    <w:rsid w:val="00F648AF"/>
    <w:rsid w:val="00F64D3A"/>
    <w:rsid w:val="00F656E2"/>
    <w:rsid w:val="00F66291"/>
    <w:rsid w:val="00F669C6"/>
    <w:rsid w:val="00F70203"/>
    <w:rsid w:val="00F70735"/>
    <w:rsid w:val="00F72786"/>
    <w:rsid w:val="00F72EE0"/>
    <w:rsid w:val="00F731C7"/>
    <w:rsid w:val="00F746C8"/>
    <w:rsid w:val="00F76685"/>
    <w:rsid w:val="00F766A9"/>
    <w:rsid w:val="00F76A20"/>
    <w:rsid w:val="00F76B61"/>
    <w:rsid w:val="00F82ABB"/>
    <w:rsid w:val="00F849F9"/>
    <w:rsid w:val="00F84E95"/>
    <w:rsid w:val="00F854E3"/>
    <w:rsid w:val="00F855FE"/>
    <w:rsid w:val="00F857B7"/>
    <w:rsid w:val="00F90814"/>
    <w:rsid w:val="00F90B90"/>
    <w:rsid w:val="00F90EF2"/>
    <w:rsid w:val="00F92B5C"/>
    <w:rsid w:val="00F930DF"/>
    <w:rsid w:val="00F97ADB"/>
    <w:rsid w:val="00FA082F"/>
    <w:rsid w:val="00FA0AE7"/>
    <w:rsid w:val="00FA0B81"/>
    <w:rsid w:val="00FA0C36"/>
    <w:rsid w:val="00FA1E82"/>
    <w:rsid w:val="00FA4221"/>
    <w:rsid w:val="00FA7000"/>
    <w:rsid w:val="00FB05D8"/>
    <w:rsid w:val="00FB192B"/>
    <w:rsid w:val="00FB1948"/>
    <w:rsid w:val="00FB22B6"/>
    <w:rsid w:val="00FB35B5"/>
    <w:rsid w:val="00FB6665"/>
    <w:rsid w:val="00FB68CB"/>
    <w:rsid w:val="00FB6B8C"/>
    <w:rsid w:val="00FC102E"/>
    <w:rsid w:val="00FC34CE"/>
    <w:rsid w:val="00FC4471"/>
    <w:rsid w:val="00FC44CA"/>
    <w:rsid w:val="00FC4766"/>
    <w:rsid w:val="00FC67F3"/>
    <w:rsid w:val="00FD1890"/>
    <w:rsid w:val="00FD408C"/>
    <w:rsid w:val="00FD4C5B"/>
    <w:rsid w:val="00FD7995"/>
    <w:rsid w:val="00FE0437"/>
    <w:rsid w:val="00FE14AD"/>
    <w:rsid w:val="00FE2733"/>
    <w:rsid w:val="00FE4B1A"/>
    <w:rsid w:val="00FE55E7"/>
    <w:rsid w:val="00FF08E8"/>
    <w:rsid w:val="00FF2D84"/>
    <w:rsid w:val="00FF4ED0"/>
    <w:rsid w:val="00FF6054"/>
    <w:rsid w:val="00FF68D5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7CA3"/>
  <w15:chartTrackingRefBased/>
  <w15:docId w15:val="{D892DD69-5170-4DA9-90B2-40F15F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1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D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1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31D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4">
    <w:name w:val="l4"/>
    <w:basedOn w:val="Normln"/>
    <w:rsid w:val="000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gkelc">
    <w:name w:val="hgkelc"/>
    <w:basedOn w:val="Standardnpsmoodstavce"/>
    <w:rsid w:val="00056456"/>
  </w:style>
  <w:style w:type="character" w:customStyle="1" w:styleId="Nadpis1Char">
    <w:name w:val="Nadpis 1 Char"/>
    <w:basedOn w:val="Standardnpsmoodstavce"/>
    <w:link w:val="Nadpis1"/>
    <w:uiPriority w:val="9"/>
    <w:rsid w:val="00DC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DC155D"/>
  </w:style>
  <w:style w:type="paragraph" w:styleId="Textpoznpodarou">
    <w:name w:val="footnote text"/>
    <w:basedOn w:val="Normln"/>
    <w:link w:val="TextpoznpodarouChar"/>
    <w:uiPriority w:val="99"/>
    <w:unhideWhenUsed/>
    <w:rsid w:val="00B260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60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02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60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60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60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98"/>
    <w:rPr>
      <w:b/>
      <w:bCs/>
      <w:sz w:val="20"/>
      <w:szCs w:val="20"/>
    </w:rPr>
  </w:style>
  <w:style w:type="paragraph" w:styleId="Odstavecseseznamem">
    <w:name w:val="List Paragraph"/>
    <w:aliases w:val="Odstavec_muj,Conclusion de partie,Nad,List Paragraph (Czech Tourism),A-Odrážky1,_Odstavec se seznamem,Odstavec_muj1,Odstavec_muj2,Odstavec_muj3,Nad1,List Paragraph1,Odstavec_muj4,Nad2,List Paragraph2,Odstavec_muj5,odrážka první"/>
    <w:basedOn w:val="Normln"/>
    <w:link w:val="OdstavecseseznamemChar"/>
    <w:uiPriority w:val="34"/>
    <w:qFormat/>
    <w:rsid w:val="00C07EF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C07E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07E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aliases w:val="Odstavec_muj Char,Conclusion de partie Char,Nad Char,List Paragraph (Czech Tourism) Char,A-Odrážky1 Char,_Odstavec se seznamem Char,Odstavec_muj1 Char,Odstavec_muj2 Char,Odstavec_muj3 Char,Nad1 Char,List Paragraph1 Char"/>
    <w:link w:val="Odstavecseseznamem"/>
    <w:qFormat/>
    <w:rsid w:val="00C07EFB"/>
  </w:style>
  <w:style w:type="paragraph" w:styleId="Zhlav">
    <w:name w:val="header"/>
    <w:basedOn w:val="Normln"/>
    <w:link w:val="ZhlavChar"/>
    <w:uiPriority w:val="99"/>
    <w:unhideWhenUsed/>
    <w:rsid w:val="007D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9FB"/>
  </w:style>
  <w:style w:type="paragraph" w:styleId="Zpat">
    <w:name w:val="footer"/>
    <w:basedOn w:val="Normln"/>
    <w:link w:val="ZpatChar"/>
    <w:uiPriority w:val="99"/>
    <w:unhideWhenUsed/>
    <w:rsid w:val="007D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9FB"/>
  </w:style>
  <w:style w:type="paragraph" w:customStyle="1" w:styleId="Odsazentlatextu">
    <w:name w:val="Odsazení těla textu"/>
    <w:basedOn w:val="Normln"/>
    <w:qFormat/>
    <w:rsid w:val="004E0967"/>
    <w:pPr>
      <w:tabs>
        <w:tab w:val="left" w:pos="708"/>
      </w:tabs>
      <w:suppressAutoHyphens/>
      <w:spacing w:after="120" w:line="276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stavceChar">
    <w:name w:val="Text odstavce Char"/>
    <w:basedOn w:val="Standardnpsmoodstavce"/>
    <w:link w:val="Textodstavce"/>
    <w:locked/>
    <w:rsid w:val="00F66291"/>
  </w:style>
  <w:style w:type="paragraph" w:customStyle="1" w:styleId="Textodstavce">
    <w:name w:val="Text odstavce"/>
    <w:basedOn w:val="Normln"/>
    <w:link w:val="TextodstavceChar"/>
    <w:rsid w:val="00F66291"/>
    <w:pPr>
      <w:numPr>
        <w:numId w:val="3"/>
      </w:numPr>
      <w:spacing w:before="120" w:after="120" w:line="240" w:lineRule="auto"/>
      <w:jc w:val="both"/>
    </w:pPr>
  </w:style>
  <w:style w:type="paragraph" w:customStyle="1" w:styleId="Textbodu">
    <w:name w:val="Text bodu"/>
    <w:basedOn w:val="Normln"/>
    <w:rsid w:val="00F66291"/>
    <w:pPr>
      <w:numPr>
        <w:ilvl w:val="2"/>
        <w:numId w:val="3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66291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1D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2849B2"/>
    <w:pPr>
      <w:spacing w:after="0" w:line="240" w:lineRule="auto"/>
    </w:pPr>
  </w:style>
  <w:style w:type="paragraph" w:customStyle="1" w:styleId="pf0">
    <w:name w:val="pf0"/>
    <w:basedOn w:val="Normln"/>
    <w:rsid w:val="0040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403859"/>
    <w:rPr>
      <w:rFonts w:ascii="Segoe UI" w:hAnsi="Segoe UI" w:cs="Segoe UI" w:hint="default"/>
      <w:sz w:val="18"/>
      <w:szCs w:val="18"/>
    </w:rPr>
  </w:style>
  <w:style w:type="character" w:styleId="Siln">
    <w:name w:val="Strong"/>
    <w:basedOn w:val="Standardnpsmoodstavce"/>
    <w:uiPriority w:val="22"/>
    <w:qFormat/>
    <w:rsid w:val="007275CB"/>
    <w:rPr>
      <w:b/>
      <w:bCs/>
    </w:rPr>
  </w:style>
  <w:style w:type="paragraph" w:customStyle="1" w:styleId="odstavec1">
    <w:name w:val="odstavec 1"/>
    <w:basedOn w:val="Normln"/>
    <w:rsid w:val="007A0BD8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menote">
    <w:name w:val="namenote"/>
    <w:basedOn w:val="Standardnpsmoodstavce"/>
    <w:rsid w:val="00F648AF"/>
  </w:style>
  <w:style w:type="character" w:styleId="Hypertextovodkaz">
    <w:name w:val="Hyperlink"/>
    <w:basedOn w:val="Standardnpsmoodstavce"/>
    <w:uiPriority w:val="99"/>
    <w:semiHidden/>
    <w:unhideWhenUsed/>
    <w:rsid w:val="00F648AF"/>
    <w:rPr>
      <w:color w:val="0000FF"/>
      <w:u w:val="single"/>
    </w:rPr>
  </w:style>
  <w:style w:type="character" w:customStyle="1" w:styleId="note">
    <w:name w:val="note"/>
    <w:basedOn w:val="Standardnpsmoodstavce"/>
    <w:rsid w:val="00F648AF"/>
  </w:style>
  <w:style w:type="character" w:styleId="Zmnka">
    <w:name w:val="Mention"/>
    <w:basedOn w:val="Standardnpsmoodstavce"/>
    <w:uiPriority w:val="99"/>
    <w:unhideWhenUsed/>
    <w:rsid w:val="00CE75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EB2988C19694A927CFFE4C30B1B11" ma:contentTypeVersion="4" ma:contentTypeDescription="Vytvoří nový dokument" ma:contentTypeScope="" ma:versionID="5cf8db854a69f2e424261c0e76ea35c5">
  <xsd:schema xmlns:xsd="http://www.w3.org/2001/XMLSchema" xmlns:xs="http://www.w3.org/2001/XMLSchema" xmlns:p="http://schemas.microsoft.com/office/2006/metadata/properties" xmlns:ns2="f912b920-7918-417f-8a37-e39f866f5493" targetNamespace="http://schemas.microsoft.com/office/2006/metadata/properties" ma:root="true" ma:fieldsID="9ba652aec3ef6a2486c9a327d5887b82" ns2:_="">
    <xsd:import namespace="f912b920-7918-417f-8a37-e39f866f5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b920-7918-417f-8a37-e39f866f5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81B96-80ED-4E4A-ABAB-C98352F35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61A38-8EB7-42FC-807C-947D53D06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b920-7918-417f-8a37-e39f866f5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FB932-0513-4A5F-9244-3ABCAD81D0E1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f912b920-7918-417f-8a37-e39f866f549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353AD0-0BFB-4B96-B0F2-F8E4785FE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13</Pages>
  <Words>5248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36145</CharactersWithSpaces>
  <SharedDoc>false</SharedDoc>
  <HLinks>
    <vt:vector size="6" baseType="variant">
      <vt:variant>
        <vt:i4>5898340</vt:i4>
      </vt:variant>
      <vt:variant>
        <vt:i4>0</vt:i4>
      </vt:variant>
      <vt:variant>
        <vt:i4>0</vt:i4>
      </vt:variant>
      <vt:variant>
        <vt:i4>5</vt:i4>
      </vt:variant>
      <vt:variant>
        <vt:lpwstr>mailto:nuslovaa@mzcr.cz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Milada, Mgr.</dc:creator>
  <cp:keywords/>
  <dc:description/>
  <cp:lastModifiedBy>Zemanová Petra, JUDr.</cp:lastModifiedBy>
  <cp:revision>320</cp:revision>
  <cp:lastPrinted>2023-08-26T13:59:00Z</cp:lastPrinted>
  <dcterms:created xsi:type="dcterms:W3CDTF">2024-08-21T04:44:00Z</dcterms:created>
  <dcterms:modified xsi:type="dcterms:W3CDTF">2024-09-11T05:17:00Z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0x010100672EB2988C19694A927CFFE4C30B1B11</vt:lpwstr>
  </property>
</Properties>
</file>